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240" w:lineRule="auto"/>
        <w:ind w:right="-302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bookmarkStart w:id="0" w:name="_Toc109944905"/>
      <w:bookmarkStart w:id="1" w:name="_Toc104809726"/>
      <w:bookmarkStart w:id="2" w:name="_Toc104809504"/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Департамент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молодёжной политики</w:t>
      </w:r>
    </w:p>
    <w:p>
      <w:pPr>
        <w:snapToGrid w:val="0"/>
        <w:spacing w:after="0" w:line="24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Тюменской области</w:t>
      </w:r>
    </w:p>
    <w:p>
      <w:pPr>
        <w:snapToGrid w:val="0"/>
        <w:spacing w:after="0" w:line="24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eastAsia="ar-SA"/>
        </w:rPr>
      </w:pPr>
    </w:p>
    <w:p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Государственное автономное учреждение </w:t>
      </w:r>
    </w:p>
    <w:p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дополнительного образования Тюменской области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«Региональный центр допризывной подготовки и патриотического воспитания «Аванпост»</w:t>
      </w:r>
    </w:p>
    <w:p>
      <w:pPr>
        <w:keepNext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</w:p>
    <w:p>
      <w:pPr>
        <w:keepNext/>
        <w:snapToGri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tbl>
      <w:tblPr>
        <w:tblStyle w:val="6"/>
        <w:tblW w:w="10317" w:type="dxa"/>
        <w:tblInd w:w="-8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6"/>
        <w:gridCol w:w="56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6" w:type="dxa"/>
            <w:shd w:val="clear" w:color="auto" w:fill="auto"/>
          </w:tcPr>
          <w:p>
            <w:pPr>
              <w:snapToGrid w:val="0"/>
              <w:spacing w:before="0" w:after="0" w:line="240" w:lineRule="auto"/>
              <w:ind w:right="-302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Рассмотрено на заседании педагогического совета ГАУ ДО ТО «Региональный центр допризывной подготовки и патриотического воспитания «Аванпост» </w:t>
            </w:r>
          </w:p>
          <w:p>
            <w:pPr>
              <w:snapToGrid w:val="0"/>
              <w:spacing w:before="0" w:after="0" w:line="240" w:lineRule="auto"/>
              <w:ind w:right="-302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Протокол от «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 xml:space="preserve">10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»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июня 2026г. №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16</w:t>
            </w:r>
          </w:p>
          <w:p>
            <w:pPr>
              <w:snapToGrid w:val="0"/>
              <w:spacing w:before="0" w:after="0" w:line="240" w:lineRule="auto"/>
              <w:ind w:right="-302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</w:p>
        </w:tc>
        <w:tc>
          <w:tcPr>
            <w:tcW w:w="5661" w:type="dxa"/>
            <w:shd w:val="clear" w:color="auto" w:fill="auto"/>
          </w:tcPr>
          <w:p>
            <w:pPr>
              <w:snapToGrid w:val="0"/>
              <w:spacing w:before="0" w:after="0" w:line="240" w:lineRule="auto"/>
              <w:ind w:right="-302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>Утверждаю:</w:t>
            </w:r>
          </w:p>
          <w:p>
            <w:pPr>
              <w:snapToGrid w:val="0"/>
              <w:spacing w:before="0" w:after="0" w:line="240" w:lineRule="auto"/>
              <w:ind w:right="-302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>иректор ГАУ ДО ТО «Региональный центр допризывной подготовки и патриотического воспитания «Аванпост»</w:t>
            </w:r>
          </w:p>
          <w:p>
            <w:pPr>
              <w:snapToGrid w:val="0"/>
              <w:spacing w:before="0" w:after="0" w:line="240" w:lineRule="auto"/>
              <w:ind w:right="-302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>_________________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Н.Ю.Савченко</w:t>
            </w:r>
          </w:p>
          <w:p>
            <w:pPr>
              <w:snapToGrid w:val="0"/>
              <w:spacing w:before="0" w:after="0" w:line="240" w:lineRule="auto"/>
              <w:ind w:right="-302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>Приказ от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 xml:space="preserve">10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»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июня 2026г. № 180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</w:tbl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napToGrid w:val="0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ar-SA"/>
        </w:rPr>
        <w:t xml:space="preserve">Дополнительная </w:t>
      </w:r>
    </w:p>
    <w:p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ar-SA"/>
        </w:rPr>
        <w:t xml:space="preserve">общеобразовательная общеразвивающая программа </w:t>
      </w:r>
    </w:p>
    <w:p>
      <w:pPr>
        <w:snapToGrid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  <w:t>физкультурно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  <w:t>-спортивной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ar-SA"/>
        </w:rPr>
        <w:t xml:space="preserve"> направленности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  <w:t xml:space="preserve"> </w:t>
      </w:r>
    </w:p>
    <w:p>
      <w:pPr>
        <w:snapToGrid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ar-SA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  <w:t xml:space="preserve">«ОФП» </w:t>
      </w:r>
    </w:p>
    <w:p>
      <w:pPr>
        <w:spacing w:after="0"/>
        <w:jc w:val="center"/>
        <w:rPr>
          <w:rFonts w:hint="default" w:eastAsia="Times New Roman" w:cs="Times New Roman"/>
          <w:b/>
          <w:color w:val="FF0000"/>
          <w:sz w:val="28"/>
          <w:szCs w:val="28"/>
          <w:highlight w:val="yellow"/>
          <w:lang w:val="ru-RU" w:eastAsia="ar-SA"/>
        </w:rPr>
      </w:pPr>
    </w:p>
    <w:p>
      <w:pPr>
        <w:spacing w:after="0"/>
        <w:jc w:val="center"/>
        <w:rPr>
          <w:rFonts w:hint="default" w:eastAsia="Times New Roman" w:cs="Times New Roman"/>
          <w:b/>
          <w:color w:val="FF0000"/>
          <w:sz w:val="28"/>
          <w:szCs w:val="28"/>
          <w:highlight w:val="yellow"/>
          <w:lang w:val="ru-RU" w:eastAsia="ar-SA"/>
        </w:rPr>
      </w:pPr>
    </w:p>
    <w:p>
      <w:pPr>
        <w:keepNext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keepNext/>
        <w:snapToGri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ar-SA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ar-SA"/>
        </w:rPr>
        <w:t xml:space="preserve">Возраст обучающихся: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ar-SA"/>
        </w:rPr>
        <w:t xml:space="preserve">8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ar-SA"/>
        </w:rPr>
        <w:t>-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ar-SA"/>
        </w:rPr>
        <w:t xml:space="preserve"> 11 лет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ar-SA"/>
        </w:rPr>
        <w:t>Срок реализации: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ar-SA"/>
        </w:rPr>
        <w:t xml:space="preserve"> 8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ar-SA"/>
        </w:rPr>
        <w:t>час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ar-SA"/>
        </w:rPr>
        <w:t>ов, 4 недели</w:t>
      </w:r>
    </w:p>
    <w:p>
      <w:pPr>
        <w:snapToGri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ind w:right="-302"/>
        <w:jc w:val="right"/>
        <w:rPr>
          <w:rFonts w:hint="default" w:ascii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ar-SA"/>
        </w:rPr>
        <w:t xml:space="preserve">Автор-составитель: </w:t>
      </w:r>
    </w:p>
    <w:p>
      <w:pPr>
        <w:snapToGrid w:val="0"/>
        <w:spacing w:before="0" w:after="0" w:line="240" w:lineRule="auto"/>
        <w:ind w:right="-302"/>
        <w:jc w:val="right"/>
        <w:rPr>
          <w:rFonts w:hint="default" w:ascii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ar-SA"/>
        </w:rPr>
        <w:t>Педагог дополнительного образования</w:t>
      </w:r>
    </w:p>
    <w:p>
      <w:pPr>
        <w:snapToGrid w:val="0"/>
        <w:spacing w:before="0" w:after="0" w:line="240" w:lineRule="auto"/>
        <w:ind w:right="-302"/>
        <w:jc w:val="right"/>
        <w:rPr>
          <w:rFonts w:hint="default" w:ascii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ar-SA"/>
        </w:rPr>
        <w:t>Чемагин К.В.</w:t>
      </w:r>
    </w:p>
    <w:p>
      <w:pPr>
        <w:snapToGrid w:val="0"/>
        <w:spacing w:after="0" w:line="240" w:lineRule="auto"/>
        <w:ind w:firstLine="454"/>
        <w:jc w:val="right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Style w:val="19"/>
          <w:rFonts w:ascii="Times New Roman" w:hAnsi="Times New Roman" w:cs="Times New Roman" w:eastAsiaTheme="minorEastAsia"/>
          <w:b/>
          <w:bCs/>
          <w:color w:val="auto"/>
          <w:sz w:val="28"/>
          <w:szCs w:val="28"/>
          <w:lang w:eastAsia="ru-RU"/>
        </w:rPr>
      </w:pPr>
    </w:p>
    <w:p>
      <w:pPr>
        <w:jc w:val="both"/>
        <w:rPr>
          <w:rStyle w:val="19"/>
          <w:rFonts w:ascii="Times New Roman" w:hAnsi="Times New Roman" w:cs="Times New Roman" w:eastAsiaTheme="minorEastAsia"/>
          <w:b/>
          <w:bCs/>
          <w:color w:val="auto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Тюмень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, 2026г.</w:t>
      </w:r>
    </w:p>
    <w:p>
      <w:pPr>
        <w:pStyle w:val="10"/>
        <w:numPr>
          <w:numId w:val="0"/>
        </w:numPr>
        <w:jc w:val="both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10"/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Комплекс основных характеристик программы</w:t>
      </w:r>
      <w:bookmarkEnd w:id="0"/>
      <w:bookmarkEnd w:id="1"/>
      <w:bookmarkEnd w:id="2"/>
    </w:p>
    <w:p>
      <w:pPr>
        <w:pStyle w:val="10"/>
        <w:ind w:left="1800"/>
        <w:jc w:val="center"/>
        <w:outlineLvl w:val="2"/>
      </w:pPr>
    </w:p>
    <w:p>
      <w:pPr>
        <w:pStyle w:val="10"/>
        <w:ind w:left="17" w:hanging="17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3" w:name="_Toc104809727"/>
      <w:bookmarkStart w:id="4" w:name="_Toc109944906"/>
      <w:bookmarkStart w:id="5" w:name="_Toc104809505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1.1. Пояснительная записка</w:t>
      </w:r>
      <w:bookmarkEnd w:id="3"/>
      <w:bookmarkEnd w:id="4"/>
      <w:bookmarkEnd w:id="5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Дополнительная общеобразовательная общеразвивающая программа физкультурно-спортивной направленности «ОФП» для обучающихся в возрасте 8-11 лет составлена в соответствии со следующими нормативно-правовыми документами: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Федеральный закон от 29.12.2012 N 273-ФЗ «Об образовании в Российской Федерации».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Федеральный закон от 29.12.2010 N 436-ФЗ «О защите детей от информации, причиняющей вред их здоровью и развитию».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Указ Президента России от 07 мая 2024 No 309 «О национальных целях развития Российской Федерации на период до 2030 года и на перспективу до 2036 года.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Указ Президента Российской Федерации от 8 мая 2024г. № 314 Об утверждении Основ государственной политики Российской федерации в области исторического просвещения.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Указ Президента Российской Федерации от 28 февраля 2024г. № 145 Стратегии научно-технологического развития Российской Федерации.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Указ Президента РФ от 09 ноября 2022 г. No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Постановление Правительства РФ от 11 октября 2023 г. № 1678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 xml:space="preserve"> «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>».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Постановление Главного государственного санитарного врача Российской Федерации от 28 января 2021 г. No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 (30.12.2022 г.).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Министерстве юстиции Российской Федерации 18 декабря 2020 года, регистрационный N 61573).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Распоряжение Правительства РФ от 31.03.2022 № 678-р «Об утверждении концепции развития дополнительного образования детей до 2030 года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и плана ее реализации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Стратегия развития воспитания  в РФ на период до 2030 года: ПРОЕКТ от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17.12.2024г., разработанный ФГБНУ Институт изучения детства, семьи и воспитания г.Москвы (на согласовании)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Приказ Минпросвещения 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Приказ Минпросвещения России  от 03 сентября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2019г. № 467 Об утверждении Целевой модели развития региональных систем дополнительного образования детей.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Письмо Министерства образования и науки Российской Федерации от 18 ноября 2015 г. No 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программы)).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Приказ ДОиН ТО, ДФКСиДО ТО, ДК ТО, ДСР ТО, ДИ ТО от 28 июля 2022 г. No 556/325/1285/315-п/151-од «Об утверждении Плана работы по реализации Концепции развития дополнительного образования детей до 2030 года в Тюменской области».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Устав учреждения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ГАУ ДО ТО «РЦДППВ «Аванпост»;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Положение о порядке разработки дополнительных общеобразовательных общеразвивающих программ ГАУ ДО ТО «РЦДППВ «Аванпост».</w:t>
      </w:r>
    </w:p>
    <w:p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Актуальность программы "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ОФП</w:t>
      </w:r>
      <w:r>
        <w:rPr>
          <w:rFonts w:hint="default" w:ascii="Times New Roman" w:hAnsi="Times New Roman" w:cs="Times New Roman"/>
          <w:sz w:val="28"/>
          <w:szCs w:val="28"/>
        </w:rPr>
        <w:t xml:space="preserve">" для детей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8-11</w:t>
      </w:r>
      <w:r>
        <w:rPr>
          <w:rFonts w:hint="default" w:ascii="Times New Roman" w:hAnsi="Times New Roman" w:cs="Times New Roman"/>
          <w:sz w:val="28"/>
          <w:szCs w:val="28"/>
        </w:rPr>
        <w:t xml:space="preserve"> лет обусловлена несколькими ключевыми факторами: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1. Увеличение уровня физической активности: В условиях современного общества, где дети все чаще проводят время за экранами компьютеров и мобильных устройств, наблюдается снижение физической активности.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Программа "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ОФП</w:t>
      </w:r>
      <w:r>
        <w:rPr>
          <w:rFonts w:hint="default" w:ascii="Times New Roman" w:hAnsi="Times New Roman" w:cs="Times New Roman"/>
          <w:sz w:val="28"/>
          <w:szCs w:val="28"/>
        </w:rPr>
        <w:t>" способствует привлечению детей к активным занятиям спортом, что важно для их физического и психического здоровья.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3. Формирование здорового образа жизни: Программа направлена на воспитание у детей привычки к регулярным физическим нагрузкам и осознанию важности здорового образа жизни. Это особенно актуально в свете растущей заболеваемости среди молодежи, связанной с малоподвижным образом жизни и неправильным питанием.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4. Развитие личностных качеств: Занятия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ОФП</w:t>
      </w:r>
      <w:r>
        <w:rPr>
          <w:rFonts w:hint="default" w:ascii="Times New Roman" w:hAnsi="Times New Roman" w:cs="Times New Roman"/>
          <w:sz w:val="28"/>
          <w:szCs w:val="28"/>
        </w:rPr>
        <w:t xml:space="preserve"> способствуют развитию таких важных личностных качеств, как настойчивость, целеустремленность, командный дух и умение работать в коллективе. Эти навыки будут полезны детям не только в спорте, но и в их дальнейшей жизни.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. Индивидуальный подход к каждому ребенку: Программа учитывает различные уровни физической подготовки участников, что позволяет каждому ребенку развиваться в своем темпе и достигать личных результатов. Это создает позитивную атмосферу для занятий спортом и повышает мотивацию к регулярным тренировкам.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bookmarkStart w:id="75" w:name="_GoBack"/>
      <w:bookmarkEnd w:id="75"/>
      <w:r>
        <w:rPr>
          <w:rFonts w:hint="default" w:ascii="Times New Roman" w:hAnsi="Times New Roman" w:cs="Times New Roman"/>
          <w:sz w:val="28"/>
          <w:szCs w:val="28"/>
        </w:rPr>
        <w:t>. Подготовка к будущим достижениям: Участие в программе "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ОФП</w:t>
      </w:r>
      <w:r>
        <w:rPr>
          <w:rFonts w:hint="default" w:ascii="Times New Roman" w:hAnsi="Times New Roman" w:cs="Times New Roman"/>
          <w:sz w:val="28"/>
          <w:szCs w:val="28"/>
        </w:rPr>
        <w:t>" может стать основой для дальнейшего занятия спортом на более высоком уровне, а также подготовить детей к участию в соревнованиях различного уровня.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Таким образом, программа "О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ФП</w:t>
      </w:r>
      <w:r>
        <w:rPr>
          <w:rFonts w:hint="default" w:ascii="Times New Roman" w:hAnsi="Times New Roman" w:cs="Times New Roman"/>
          <w:sz w:val="28"/>
          <w:szCs w:val="28"/>
        </w:rPr>
        <w:t xml:space="preserve">" является актуальной и необходимой для формирования у детей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8-</w:t>
      </w:r>
      <w:r>
        <w:rPr>
          <w:rFonts w:hint="default" w:ascii="Times New Roman" w:hAnsi="Times New Roman" w:cs="Times New Roman"/>
          <w:sz w:val="28"/>
          <w:szCs w:val="28"/>
        </w:rPr>
        <w:t>11 лет устойчивых навыков физической активности, здоровья и личностного развития в условиях современного общества.</w:t>
      </w:r>
    </w:p>
    <w:p>
      <w:pPr>
        <w:spacing w:after="0" w:line="360" w:lineRule="auto"/>
        <w:ind w:firstLine="700" w:firstLineChars="0"/>
        <w:jc w:val="both"/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Новизна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  <w:t xml:space="preserve"> программы заключается в интеграции современных методик физического воспитания с элементами игры и соревнования. В отличие от традиционных подходов, программа "ОФП" акцентирует внимание на индивидуальных достижениях каждого ребенка, что позволяет учитывать их физические возможности и интересы. Также предусмотрено использование цифровых технологий для мониторинга прогресса участников, что способствует повышению мотивации и вовлеченности в занятия.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Категория воспитанников</w:t>
      </w:r>
    </w:p>
    <w:p>
      <w:pPr>
        <w:spacing w:after="0" w:line="360" w:lineRule="auto"/>
        <w:ind w:firstLine="709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предназначена к освоению детьми в возрасте 8-11 лет изъявивших добровольное желание ее осваивать, допущенных по состоянию здоровья. Количество обучающихся в группе не менее 2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человек. Состав занимающихся постоянный.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Форма обучения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- очная.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Форма реализации программы: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 применением дистанционных технологий и электронного обучения. Так как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обучающихся.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случае карантина, актированных дней предусмотрен переход на дистанционное обучение. При этом в учебный план и календарный учебный график вносятся соответствующие корректировки в части форм обучения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, соотношения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часов теории и практики, сроков и дат изучения отдельных тем.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Образовательным ресурсом для осуществления учебного процесса в дистанционном формате является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образовательн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ый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портал  «АВАНПОСТ-ONLINE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», где размещаются учебные и контрольно-измерительные материалы. Прохождение программы обучающимися осуществляется в соответствии с календарно-тематическим планированием.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 xml:space="preserve"> Н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а сайт учреждения загружаются теоретические материалы, которые обучающиеся изучают онлайн, задания для самоконтроля и контроля педагогом, по темам в разрезе учебных занятий. Объем материала, включающий теоретическую и практическую части рассчитывается в соответствии с утвержденным расписанием занятий. После самостоятельного освоения учебных материалов, результаты самостоятельно выполненных заданий обучающиеся направляют на проверку педагогу дополнительного образования. Кроме того, по необходимости педагогом проводятся онлайн-консультации с использованием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 xml:space="preserve"> м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ессенджер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а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МАХ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, с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оциальны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х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сет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ях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VK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Образовательный процесс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может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 быть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организ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ован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 форм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ате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видеоуроков, которые педагог отправляет обучающимся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 чат группы мессенджера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"/>
        </w:rPr>
        <w:t>MAX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, также посредством проведения занятий по видеосвязи в приложении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Яндекс Телемост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Организация двигательной активности: между занятиями обучающимся нужно организовать 10 мин. перерыв, выполнить физминутку.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Дистанционные формы работы могут быть использованы индивидуально в случае болезни ребёнка, при необходимости создания особых образовательных условий, разработке индивидуального образовательного маршрута.</w:t>
      </w:r>
    </w:p>
    <w:p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spacing w:line="360" w:lineRule="auto"/>
        <w:ind w:firstLine="70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 w:val="0"/>
          <w:sz w:val="28"/>
          <w:szCs w:val="28"/>
        </w:rPr>
        <w:t>Срок освоения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рассчитан на один учебный год. Общее количество учебного времени составляет 8 учебных часов,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неделю (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2 часа). Продолжительность одного учебного занятия составляет 90 минут с перерывом на отдых. 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Особенности организации образовательного процесса:</w:t>
      </w:r>
    </w:p>
    <w:p>
      <w:pPr>
        <w:pStyle w:val="1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Отсутствие линейности в построении образовательной деятельности;</w:t>
      </w:r>
    </w:p>
    <w:p>
      <w:pPr>
        <w:pStyle w:val="1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Смежность изучаемых дисциплин;</w:t>
      </w:r>
    </w:p>
    <w:p>
      <w:pPr>
        <w:pStyle w:val="1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-Слитность и однонаправленность образовательных и воспитательных компонентов;</w:t>
      </w:r>
    </w:p>
    <w:p>
      <w:pPr>
        <w:pStyle w:val="1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-Использование результатов диагностики в прогнозировании образовательного процесса и индивидуализации его построения.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включает в себя теоретические и практические занятия.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Учебные занятия проводятся согласно расписанию. Расписание занятий утверждается администрацией учреждения по предоставлению педагогов дополнительного образования, с учетом возрастных особенностей обучающихся и установленных санитарно-гигиенических норм. Занятия предполагают сочетания теоретических и практических знаний, умений, навыков, опыта творческой деятельности. 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реализуется на государственном языке РФ — русский язык.</w:t>
      </w:r>
    </w:p>
    <w:p>
      <w:pPr>
        <w:pStyle w:val="10"/>
        <w:numPr>
          <w:ilvl w:val="1"/>
          <w:numId w:val="1"/>
        </w:numPr>
        <w:spacing w:after="0" w:line="360" w:lineRule="auto"/>
        <w:ind w:left="0" w:firstLine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6" w:name="_Toc104809506"/>
      <w:bookmarkStart w:id="7" w:name="_Toc104809728"/>
      <w:bookmarkStart w:id="8" w:name="_Toc109944907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Цели и задачи программы.</w:t>
      </w:r>
      <w:bookmarkEnd w:id="6"/>
      <w:bookmarkEnd w:id="7"/>
      <w:bookmarkEnd w:id="8"/>
    </w:p>
    <w:p>
      <w:pPr>
        <w:pStyle w:val="10"/>
        <w:numPr>
          <w:ilvl w:val="0"/>
          <w:numId w:val="0"/>
        </w:numPr>
        <w:spacing w:after="0" w:line="360" w:lineRule="auto"/>
        <w:contextualSpacing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bookmarkStart w:id="9" w:name="_Toc104809729"/>
      <w:bookmarkStart w:id="10" w:name="_Toc104809507"/>
      <w:bookmarkStart w:id="11" w:name="_Toc109944908"/>
      <w:r>
        <w:rPr>
          <w:rFonts w:hint="default" w:ascii="Times New Roman" w:hAnsi="Times New Roman" w:cs="Times New Roman"/>
          <w:sz w:val="28"/>
          <w:szCs w:val="28"/>
        </w:rPr>
        <w:t>Цель программы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Гармоничное физическое развитие обучающихся, укрепление здоровья и формирование устойчивого интереса к систематическим занятиям физической культурой через освоение базовых двигательных действий.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 программы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Развивающие: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tabs>
          <w:tab w:val="left" w:pos="0"/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Укрепление мышечного корсета, связочного аппарата и сердечно-сосудистой системы.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tabs>
          <w:tab w:val="left" w:pos="0"/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Повышение общей сопротивляемости организма внешним факторам.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Обучающие: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Обучение основам техники бега (высокий старт), прыжков в длину с места.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Разучивание простейших акробатических элементов (группировка, перекаты, кувырок вперед).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Воспитательные: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Воспитание дисциплинированности, чувства коллективизма и умения соблюдать правила безопасности в зале.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Развитие волевых качеств: смелости при выполнении упражнений на высоте (лазание) и скорости.</w:t>
      </w:r>
    </w:p>
    <w:p>
      <w:pPr>
        <w:pStyle w:val="10"/>
        <w:spacing w:after="0" w:line="360" w:lineRule="auto"/>
        <w:ind w:left="17" w:hanging="17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10"/>
        <w:spacing w:after="0" w:line="360" w:lineRule="auto"/>
        <w:ind w:left="17" w:hanging="17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10"/>
        <w:spacing w:after="0" w:line="360" w:lineRule="auto"/>
        <w:ind w:left="17" w:hanging="17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10"/>
        <w:spacing w:after="0" w:line="360" w:lineRule="auto"/>
        <w:ind w:left="17" w:hanging="17"/>
        <w:jc w:val="center"/>
        <w:outlineLvl w:val="2"/>
        <w:rPr>
          <w:color w:val="000000" w:themeColor="text1" w:themeShade="80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1.3. Планируемые результаты</w:t>
      </w:r>
      <w:bookmarkEnd w:id="9"/>
      <w:bookmarkEnd w:id="10"/>
      <w:bookmarkEnd w:id="11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освоения общеобразовательной общеразвивающей программы физкультурно-спортивной направленности «Многоборье ГТО» ожидаются: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Овладеть основами техники бега и прыжков в длину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Разучить простейшие акробатические элементы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numPr>
          <w:ilvl w:val="0"/>
          <w:numId w:val="6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Укрепить мышечный корсет, связочный аппарат и сердечно-сосудистую систему;</w:t>
      </w:r>
    </w:p>
    <w:p>
      <w:pPr>
        <w:numPr>
          <w:ilvl w:val="0"/>
          <w:numId w:val="6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общую сопротивляемость организма.внешним факторам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numPr>
          <w:ilvl w:val="0"/>
          <w:numId w:val="7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Развить дисциплинированность, чувства коллективизма и умения соблюдать правила безопасности в зале;</w:t>
      </w:r>
    </w:p>
    <w:p>
      <w:pPr>
        <w:numPr>
          <w:ilvl w:val="0"/>
          <w:numId w:val="7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Развить волевые качества.</w:t>
      </w:r>
    </w:p>
    <w:p>
      <w:pPr>
        <w:numPr>
          <w:ilvl w:val="0"/>
          <w:numId w:val="0"/>
        </w:numPr>
        <w:spacing w:after="0" w:line="360" w:lineRule="auto"/>
        <w:ind w:left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pStyle w:val="10"/>
        <w:numPr>
          <w:ilvl w:val="1"/>
          <w:numId w:val="8"/>
        </w:numPr>
        <w:spacing w:after="0" w:line="360" w:lineRule="auto"/>
        <w:ind w:left="0" w:firstLine="0"/>
        <w:jc w:val="center"/>
        <w:outlineLvl w:val="2"/>
        <w:rPr>
          <w:color w:val="000000" w:themeColor="text1" w:themeShade="80"/>
          <w:highlight w:val="none"/>
        </w:rPr>
      </w:pPr>
      <w:bookmarkStart w:id="12" w:name="_Toc104809508"/>
      <w:bookmarkStart w:id="13" w:name="_Toc109944909"/>
      <w:bookmarkStart w:id="14" w:name="_Toc104809730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Содержание программы.</w:t>
      </w:r>
      <w:bookmarkEnd w:id="12"/>
      <w:bookmarkEnd w:id="13"/>
      <w:bookmarkEnd w:id="14"/>
    </w:p>
    <w:p>
      <w:pPr>
        <w:spacing w:after="0" w:line="360" w:lineRule="auto"/>
        <w:ind w:firstLine="95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Программа «ОФП» включает следующие дисциплины:</w:t>
      </w:r>
    </w:p>
    <w:p>
      <w:pPr>
        <w:pStyle w:val="10"/>
        <w:numPr>
          <w:ilvl w:val="0"/>
          <w:numId w:val="9"/>
        </w:num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  <w:t>Введение</w:t>
      </w: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  <w:lang w:val="ru-RU"/>
        </w:rPr>
        <w:t>.</w:t>
      </w:r>
    </w:p>
    <w:p>
      <w:pPr>
        <w:pStyle w:val="10"/>
        <w:numPr>
          <w:ilvl w:val="0"/>
          <w:numId w:val="9"/>
        </w:num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  <w:t>Общая физическая подготовка</w:t>
      </w: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  <w:lang w:val="ru-RU"/>
        </w:rPr>
        <w:t>.</w:t>
      </w:r>
    </w:p>
    <w:p>
      <w:pPr>
        <w:pStyle w:val="10"/>
        <w:numPr>
          <w:ilvl w:val="0"/>
          <w:numId w:val="9"/>
        </w:numPr>
        <w:spacing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</w:rPr>
        <w:t>Специальная физическая подготовка</w:t>
      </w:r>
      <w:r>
        <w:rPr>
          <w:rFonts w:hint="default"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highlight w:val="none"/>
          <w:lang w:val="ru-RU"/>
        </w:rPr>
        <w:t>.</w:t>
      </w:r>
    </w:p>
    <w:p>
      <w:pPr>
        <w:pStyle w:val="10"/>
        <w:spacing w:after="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color w:val="000000" w:themeColor="text1" w:themeShade="8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Учебный план</w:t>
      </w:r>
    </w:p>
    <w:tbl>
      <w:tblPr>
        <w:tblStyle w:val="6"/>
        <w:tblpPr w:leftFromText="180" w:rightFromText="180" w:vertAnchor="text" w:horzAnchor="page" w:tblpX="966" w:tblpY="412"/>
        <w:tblW w:w="10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</w:tblPr>
      <w:tblGrid>
        <w:gridCol w:w="700"/>
        <w:gridCol w:w="2190"/>
        <w:gridCol w:w="1005"/>
        <w:gridCol w:w="945"/>
        <w:gridCol w:w="1215"/>
        <w:gridCol w:w="2670"/>
        <w:gridCol w:w="1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70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bookmarkStart w:id="15" w:name="_Toc109944910"/>
            <w:bookmarkStart w:id="16" w:name="_Toc106713410"/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№ п/п</w:t>
            </w:r>
          </w:p>
        </w:tc>
        <w:tc>
          <w:tcPr>
            <w:tcW w:w="219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Название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дисциплины</w:t>
            </w:r>
          </w:p>
        </w:tc>
        <w:tc>
          <w:tcPr>
            <w:tcW w:w="100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Итого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 xml:space="preserve">кол-во 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часов</w:t>
            </w:r>
          </w:p>
        </w:tc>
        <w:tc>
          <w:tcPr>
            <w:tcW w:w="94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Теория</w:t>
            </w:r>
          </w:p>
        </w:tc>
        <w:tc>
          <w:tcPr>
            <w:tcW w:w="121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Практика</w:t>
            </w:r>
          </w:p>
        </w:tc>
        <w:tc>
          <w:tcPr>
            <w:tcW w:w="267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Из них возможно реализовать с применением дистанционных технологий и электронного обучения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 xml:space="preserve">Форма контроля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70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19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Беговая подготовка</w:t>
            </w:r>
          </w:p>
        </w:tc>
        <w:tc>
          <w:tcPr>
            <w:tcW w:w="100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121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67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 xml:space="preserve">Опрос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70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19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Силовая подготовка</w:t>
            </w:r>
          </w:p>
        </w:tc>
        <w:tc>
          <w:tcPr>
            <w:tcW w:w="100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121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67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Сдача нормативов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815" w:hRule="atLeast"/>
        </w:trPr>
        <w:tc>
          <w:tcPr>
            <w:tcW w:w="70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19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Круговая тренировка</w:t>
            </w:r>
          </w:p>
        </w:tc>
        <w:tc>
          <w:tcPr>
            <w:tcW w:w="100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121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67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 xml:space="preserve">Сдача нормативов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2890" w:type="dxa"/>
            <w:gridSpan w:val="2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</w:rPr>
              <w:t>Итого</w:t>
            </w:r>
          </w:p>
        </w:tc>
        <w:tc>
          <w:tcPr>
            <w:tcW w:w="100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121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2670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 w:themeColor="text1" w:themeShade="80"/>
                <w:sz w:val="24"/>
                <w:szCs w:val="24"/>
                <w:highlight w:val="none"/>
              </w:rPr>
            </w:pPr>
          </w:p>
        </w:tc>
      </w:tr>
      <w:bookmarkEnd w:id="15"/>
      <w:bookmarkEnd w:id="16"/>
    </w:tbl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Содержание учебных дисциплин</w:t>
      </w:r>
    </w:p>
    <w:p>
      <w:pPr>
        <w:numPr>
          <w:ilvl w:val="0"/>
          <w:numId w:val="10"/>
        </w:num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Беговая подготовка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color w:val="00000A"/>
          <w:kern w:val="0"/>
          <w:sz w:val="28"/>
          <w:szCs w:val="28"/>
          <w:lang w:val="en-US" w:eastAsia="zh-CN" w:bidi="ar"/>
        </w:rPr>
        <w:t>Цель :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 xml:space="preserve"> Развитие общей выносливости, скоростных способностей и координационной структуры бега.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Задачи: 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" w:leftChars="0" w:hanging="5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Освоить координацию движений рук и ног, а также правильное положение корпуса (прямая спина, расслабленные плечи).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Изучить технику выполнения специальных беговых упражнений (СБУ) для улучшения биомеханики шага.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Формирование привычки контролировать дыхание во время длительного бега.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Силовая подготовка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color w:val="00000A"/>
          <w:kern w:val="0"/>
          <w:sz w:val="28"/>
          <w:szCs w:val="28"/>
          <w:lang w:val="en-US" w:eastAsia="zh-CN" w:bidi="ar"/>
        </w:rPr>
        <w:t>Цель модуля: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 xml:space="preserve"> Укрепление мышечного корсета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 xml:space="preserve"> и профилактика нарушений опорно-двигательного аппарата.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Задачи: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Обучить технике дыхания: выдох на усилии (при подъеме/отталкивании), вдох на расслаблении.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Развитие силы мышц груди, плеч и трицепсов для поддержки правильного положения лопаток.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Формирование привычки к самоконтролю техники через зрительный контроль или работу в парах.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3.Круговая тренировка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Комплексное развитие физических качеств (силовой и аэробной выносливости одновременно), воспитание волевых качеств.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tabs>
          <w:tab w:val="clear" w:pos="425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Научить детей быстро переключаться с одного вида двигательной активности на другой, адаптируясь к смене ритма.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Повышение способности мышц работать в режиме закисления</w:t>
      </w:r>
    </w:p>
    <w:p>
      <w:pPr>
        <w:keepNext w:val="0"/>
        <w:keepLines w:val="0"/>
        <w:widowControl/>
        <w:numPr>
          <w:ilvl w:val="0"/>
          <w:numId w:val="13"/>
        </w:numPr>
        <w:suppressLineNumbers w:val="0"/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Умение слышать сигналы таймера/учителя боковым слухом, не прекращая выполнения текущего технического действия.</w:t>
      </w:r>
    </w:p>
    <w:p>
      <w:pPr>
        <w:spacing w:after="0" w:line="240" w:lineRule="auto"/>
        <w:ind w:firstLine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</w:p>
    <w:p>
      <w:pPr>
        <w:pStyle w:val="7"/>
        <w:numPr>
          <w:ilvl w:val="1"/>
          <w:numId w:val="8"/>
        </w:numPr>
        <w:spacing w:before="200" w:after="0" w:line="360" w:lineRule="auto"/>
        <w:ind w:left="0" w:leftChars="0" w:firstLine="0" w:firstLineChars="0"/>
        <w:jc w:val="center"/>
        <w:outlineLvl w:val="2"/>
        <w:rPr>
          <w:b/>
          <w:color w:val="auto"/>
          <w:sz w:val="28"/>
          <w:szCs w:val="24"/>
          <w:highlight w:val="none"/>
        </w:rPr>
      </w:pPr>
      <w:bookmarkStart w:id="17" w:name="_Toc124473510"/>
      <w:bookmarkStart w:id="18" w:name="_Toc480265367"/>
      <w:bookmarkStart w:id="19" w:name="_Toc105428270"/>
      <w:bookmarkStart w:id="20" w:name="_Toc104809528"/>
      <w:bookmarkStart w:id="21" w:name="_Toc106713444"/>
      <w:bookmarkStart w:id="22" w:name="_Toc104809751"/>
      <w:bookmarkStart w:id="23" w:name="_Toc109944943"/>
      <w:r>
        <w:rPr>
          <w:b/>
          <w:color w:val="auto"/>
          <w:sz w:val="28"/>
          <w:szCs w:val="24"/>
          <w:highlight w:val="none"/>
        </w:rPr>
        <w:t>Рабочая программа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Цель программы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Гармоничное физическое развитие обучающихся, укрепление здоровья и формирование устойчивого интереса к систематическим занятиям физической культурой через освоение базовых двигательных действий.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 программы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Развивающие: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tabs>
          <w:tab w:val="left" w:pos="0"/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Укрепление мышечного корсета, связочного аппарата и сердечно-сосудистой системы.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tabs>
          <w:tab w:val="left" w:pos="0"/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Повышение общей сопротивляемости организма внешним факторам.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Обучающие: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Обучение основам техники бега (высокий старт), прыжков в длину с места.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Разучивание простейших акробатических элементов (группировка, перекаты, кувырок вперед).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Воспитательные: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Воспитание дисциплинированности, чувства коллективизма и умения соблюдать правила безопасности в зале.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Развитие волевых качеств: смелости при выполнении упражнений на высоте (лазание) и скорости.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освоения общеобразовательной общеразвивающей программы физкультурно-спортивной направленности «ОФП» ожидаются:</w:t>
      </w:r>
    </w:p>
    <w:p>
      <w:p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numPr>
          <w:ilvl w:val="0"/>
          <w:numId w:val="14"/>
        </w:numPr>
        <w:tabs>
          <w:tab w:val="clear" w:pos="425"/>
        </w:tabs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Овладеть основами техники бега и прыжков в длину</w:t>
      </w:r>
    </w:p>
    <w:p>
      <w:pPr>
        <w:numPr>
          <w:ilvl w:val="0"/>
          <w:numId w:val="14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Разучить простейшие акробатические элементы</w:t>
      </w:r>
    </w:p>
    <w:p>
      <w:p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numPr>
          <w:ilvl w:val="0"/>
          <w:numId w:val="15"/>
        </w:numPr>
        <w:tabs>
          <w:tab w:val="clear" w:pos="425"/>
        </w:tabs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Укрепить мышечный корсет, связочный аппарат и сердечно-сосудистую систему;</w:t>
      </w:r>
    </w:p>
    <w:p>
      <w:pPr>
        <w:numPr>
          <w:ilvl w:val="0"/>
          <w:numId w:val="15"/>
        </w:numPr>
        <w:tabs>
          <w:tab w:val="clear" w:pos="425"/>
        </w:tabs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общую сопротивляемость организма.внешним факторам</w:t>
      </w:r>
    </w:p>
    <w:p>
      <w:p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numPr>
          <w:ilvl w:val="0"/>
          <w:numId w:val="16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Развить дисциплинированность, чувства коллективизма и умения соблюдать правила безопасности в зале;</w:t>
      </w:r>
    </w:p>
    <w:p>
      <w:pPr>
        <w:numPr>
          <w:ilvl w:val="0"/>
          <w:numId w:val="16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Развить волевые качества.</w:t>
      </w:r>
    </w:p>
    <w:p>
      <w:pPr>
        <w:pStyle w:val="10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Учебно-тематический план 1 года обучения</w:t>
      </w:r>
    </w:p>
    <w:p>
      <w:pPr>
        <w:pStyle w:val="10"/>
        <w:spacing w:after="0" w:line="360" w:lineRule="auto"/>
        <w:ind w:left="0" w:firstLine="684"/>
        <w:jc w:val="both"/>
        <w:rPr>
          <w:rFonts w:ascii="Times New Roman" w:hAnsi="Times New Roman" w:cs="Times New Roman"/>
          <w:b/>
          <w:color w:val="000000" w:themeColor="text1" w:themeShade="80"/>
          <w:sz w:val="20"/>
          <w:szCs w:val="20"/>
          <w:highlight w:val="none"/>
        </w:rPr>
      </w:pPr>
    </w:p>
    <w:tbl>
      <w:tblPr>
        <w:tblStyle w:val="6"/>
        <w:tblW w:w="10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896"/>
        <w:gridCol w:w="808"/>
        <w:gridCol w:w="948"/>
        <w:gridCol w:w="813"/>
        <w:gridCol w:w="1575"/>
        <w:gridCol w:w="6"/>
        <w:gridCol w:w="983"/>
        <w:gridCol w:w="976"/>
        <w:gridCol w:w="815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577" w:type="dxa"/>
            <w:vMerge w:val="restart"/>
            <w:shd w:val="clear" w:color="auto" w:fill="auto"/>
          </w:tcPr>
          <w:p>
            <w:pPr>
              <w:pStyle w:val="13"/>
              <w:spacing w:line="36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№ п/п</w:t>
            </w:r>
          </w:p>
        </w:tc>
        <w:tc>
          <w:tcPr>
            <w:tcW w:w="1896" w:type="dxa"/>
            <w:vMerge w:val="restart"/>
            <w:shd w:val="clear" w:color="auto" w:fill="auto"/>
          </w:tcPr>
          <w:p>
            <w:pPr>
              <w:pStyle w:val="13"/>
              <w:spacing w:line="36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Название раздела, темы</w:t>
            </w:r>
          </w:p>
        </w:tc>
        <w:tc>
          <w:tcPr>
            <w:tcW w:w="4150" w:type="dxa"/>
            <w:gridSpan w:val="5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Очная форма обучения,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кол-во часов</w:t>
            </w:r>
          </w:p>
        </w:tc>
        <w:tc>
          <w:tcPr>
            <w:tcW w:w="4129" w:type="dxa"/>
            <w:gridSpan w:val="4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Из них возможно реализовать с применением дистанционных технологий и электронного обучения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кол-во 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cs="Times New Roman" w:eastAsiaTheme="majorEastAsia"/>
                <w:color w:val="2E75B6" w:themeColor="accent1" w:themeShade="BF"/>
                <w:sz w:val="26"/>
                <w:szCs w:val="26"/>
                <w:highlight w:val="none"/>
              </w:rPr>
            </w:pPr>
          </w:p>
        </w:tc>
        <w:tc>
          <w:tcPr>
            <w:tcW w:w="189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cs="Times New Roman" w:eastAsiaTheme="majorEastAsia"/>
                <w:color w:val="2E75B6" w:themeColor="accent1" w:themeShade="BF"/>
                <w:sz w:val="26"/>
                <w:szCs w:val="26"/>
                <w:highlight w:val="none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Всего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Теория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Прак</w:t>
            </w: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тика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Форма контроля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Всего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Теория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Прак</w:t>
            </w: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тика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Форма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2.1.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Беговая подготовка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4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4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val="en-US"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val="en-US" w:eastAsia="ru-RU"/>
              </w:rPr>
              <w:t>1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3.1.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Силовая подготовка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3.2.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 xml:space="preserve">Круговая тренировка 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473" w:type="dxa"/>
            <w:gridSpan w:val="2"/>
            <w:shd w:val="clear" w:color="auto" w:fill="auto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Всего часов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val="en-US" w:eastAsia="ru-RU"/>
              </w:rPr>
              <w:t>8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 w:eastAsiaTheme="majorEastAsia"/>
                <w:b/>
                <w:color w:val="2E75B6" w:themeColor="accent1" w:themeShade="BF"/>
                <w:sz w:val="26"/>
                <w:szCs w:val="26"/>
                <w:highlight w:val="none"/>
              </w:rPr>
            </w:pP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val="en-US" w:eastAsia="ru-RU"/>
              </w:rPr>
              <w:t>1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val="en-US" w:eastAsia="ru-RU"/>
              </w:rPr>
              <w:t>1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 w:eastAsiaTheme="majorEastAsia"/>
                <w:b/>
                <w:color w:val="2E75B6" w:themeColor="accent1" w:themeShade="BF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473" w:type="dxa"/>
            <w:gridSpan w:val="2"/>
            <w:shd w:val="clear" w:color="auto" w:fill="auto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Итого:</w:t>
            </w:r>
          </w:p>
        </w:tc>
        <w:tc>
          <w:tcPr>
            <w:tcW w:w="8279" w:type="dxa"/>
            <w:gridSpan w:val="9"/>
            <w:shd w:val="clear" w:color="auto" w:fill="auto"/>
            <w:tcMar>
              <w:top w:w="55" w:type="dxa"/>
              <w:bottom w:w="55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6"/>
                <w:szCs w:val="26"/>
                <w:highlight w:val="none"/>
                <w:lang w:val="ru-RU"/>
              </w:rPr>
              <w:t>8</w:t>
            </w:r>
          </w:p>
        </w:tc>
      </w:tr>
    </w:tbl>
    <w:p>
      <w:pPr>
        <w:pStyle w:val="10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yellow"/>
        </w:rPr>
      </w:pPr>
    </w:p>
    <w:bookmarkEnd w:id="17"/>
    <w:bookmarkEnd w:id="18"/>
    <w:p>
      <w:pPr>
        <w:pStyle w:val="7"/>
        <w:numPr>
          <w:ilvl w:val="0"/>
          <w:numId w:val="0"/>
        </w:numPr>
        <w:spacing w:before="200" w:after="0" w:line="360" w:lineRule="auto"/>
        <w:ind w:leftChars="0"/>
        <w:jc w:val="center"/>
        <w:outlineLvl w:val="2"/>
        <w:rPr>
          <w:b/>
          <w:color w:val="auto"/>
          <w:sz w:val="28"/>
          <w:szCs w:val="24"/>
          <w:highlight w:val="none"/>
        </w:rPr>
      </w:pPr>
      <w:r>
        <w:rPr>
          <w:b/>
          <w:color w:val="auto"/>
          <w:sz w:val="28"/>
          <w:szCs w:val="24"/>
          <w:highlight w:val="none"/>
        </w:rPr>
        <w:t>1.6. Рабочая программа воспитания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 воспитания</w:t>
      </w:r>
      <w:r>
        <w:rPr>
          <w:rFonts w:hint="default" w:ascii="Times New Roman" w:hAnsi="Times New Roman" w:cs="Times New Roman"/>
          <w:sz w:val="28"/>
          <w:szCs w:val="28"/>
        </w:rPr>
        <w:t>: Воспитание высоконравственной, ответственной, инициативной и компетентной личности, разделяющей российские традиционные духовные ценности, осознающей свою гражданскую идентичность и готовой к выполнению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конституционного долга по защите Родины.</w:t>
      </w:r>
    </w:p>
    <w:p>
      <w:pPr>
        <w:spacing w:line="360" w:lineRule="auto"/>
        <w:ind w:left="0" w:leftChars="0" w:firstLine="840" w:firstLineChars="300"/>
        <w:jc w:val="left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 воспитания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Образовательные: </w:t>
      </w:r>
    </w:p>
    <w:p>
      <w:pPr>
        <w:numPr>
          <w:ilvl w:val="0"/>
          <w:numId w:val="0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Обеспечить усвоение обучающимися знаний о героической истории России, воинских традициях, государственных символах, основах безопасности и обороны государства, социально значимых нормах и ценностях.</w:t>
      </w:r>
    </w:p>
    <w:p>
      <w:pPr>
        <w:numPr>
          <w:ilvl w:val="0"/>
          <w:numId w:val="0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Развивающие: </w:t>
      </w:r>
    </w:p>
    <w:p>
      <w:pPr>
        <w:numPr>
          <w:ilvl w:val="0"/>
          <w:numId w:val="17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Осознание российской гражданской идентичности, сформировать ценностей самостоятельности и инициативы;</w:t>
      </w:r>
    </w:p>
    <w:p>
      <w:pPr>
        <w:numPr>
          <w:ilvl w:val="0"/>
          <w:numId w:val="17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Воспитательные:</w:t>
      </w:r>
    </w:p>
    <w:p>
      <w:pPr>
        <w:numPr>
          <w:ilvl w:val="0"/>
          <w:numId w:val="18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Усвоение обучающимися знаний норм, духовно - нравственнх ценностей, традиций, которые выработало российское общество (социально значимых знаний);</w:t>
      </w:r>
    </w:p>
    <w:p>
      <w:pPr>
        <w:numPr>
          <w:ilvl w:val="0"/>
          <w:numId w:val="18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numPr>
          <w:ilvl w:val="0"/>
          <w:numId w:val="18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Приобретение соответствующего этим нормам, ценностям традициям социокультурного опыта поведения, общения, межличностных социальных отношений, применения полученных знаний.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840" w:firstLineChars="30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Программа воспитания реализуется через следующие модули, отражающие специфику Центр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«Учебная деятельность» 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(Реализация воспитательного потенциала основных занятий)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Воспитательный потенциал учебно-тренировочных занятий (по огневой, тактической, физической, строевой подготовке и др.) реализуется через: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Максимальное использование воспитательных возможностей содержания дисциплин для формирования духовно-нравственных ценностей, дисциплины, ответственности.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Включение в рабочие программы целевых ориентиров результатов воспитания.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Применение интерактивных форм (тактические игры, решение ситуационных задач), стимулирующих познавательную мотивацию и командную работу.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Побуждение обучающихся к соблюдению норм поведения, воинского этикета, уставных взаимоотношений.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Организацию наставничества (взаимопомощь) более опытных обучающихся над новичками.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«Внеучебная деятельность» 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(Обеспечение индивидуальных потребностей)</w:t>
      </w:r>
    </w:p>
    <w:p>
      <w:pPr>
        <w:spacing w:line="360" w:lineRule="auto"/>
        <w:ind w:left="0" w:leftChars="0" w:firstLine="840" w:firstLineChars="300"/>
        <w:jc w:val="both"/>
        <w:rPr>
          <w:rFonts w:hint="default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Реализуется через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дополнительные общеобразовательные общеравивающие программы и сетевые проекты предпрофессиональной подготовки</w:t>
      </w:r>
      <w:bookmarkStart w:id="24" w:name="_Toc230261835"/>
      <w:bookmarkStart w:id="25" w:name="_Toc355408024"/>
      <w:r>
        <w:rPr>
          <w:rFonts w:hint="default" w:cs="Times New Roman"/>
          <w:sz w:val="28"/>
          <w:szCs w:val="28"/>
          <w:lang w:val="ru-RU"/>
        </w:rPr>
        <w:t>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Модуль «В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оенная история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»</w:t>
      </w:r>
      <w:bookmarkEnd w:id="24"/>
      <w:bookmarkEnd w:id="25"/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формировать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молодёжи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целостное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представление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об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её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роли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мировой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оспитать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уважение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к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героическому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прошлому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страны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подвигам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защитников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Отечества;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познакомить с ключевыми событиями военной истории 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>;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изучение локальных событий родного края в контексте общенациональной истории.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сохранения исторической памяти через участие в памятных мероприятиях;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сформировать понимание связи между историческим прошлым и современными вызовами безопасности страны.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pStyle w:val="8"/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ф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ормирование ценностного отношения к России, её народу и родному краю;</w:t>
      </w:r>
    </w:p>
    <w:p>
      <w:pPr>
        <w:pStyle w:val="8"/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государственных праздников и осознание их значения в истории страны;</w:t>
      </w:r>
    </w:p>
    <w:p>
      <w:pPr>
        <w:pStyle w:val="8"/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онимание важности самодисциплины и её роли в жизни человека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8"/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тремление продолжать героические традиции многонационального российского народа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8"/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истории своего народа, региона и современных достижений соотечественников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8"/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важительное отношение ко всем национальностям и их представителям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8"/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сознание ответственности и взаимозависимости людей в обществе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8"/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подвигов героев, выдающихся деятелей российской истории и культуры, а также граждан, награжденных за значительные заслуги перед государством и обществом.</w:t>
      </w:r>
      <w:bookmarkStart w:id="26" w:name="_Toc510996828"/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27" w:name="_Toc512052369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Модуль «Культурно - досуговая деятельность»</w:t>
      </w:r>
      <w:bookmarkEnd w:id="26"/>
      <w:bookmarkEnd w:id="27"/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: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Формирование эмоциональной связи с военной историей Отечества и патриотических ценностей у молодёжи посредством участия в творческих конкурсах, интерактивных праздниках и совместных досуговых мероприятиях.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творческие мероприятия патриотической направленности;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привлечь молодёжь к участию в культурных событиях, посвящённых памятным датам;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использовать художественные средства для эмоционального воздействия на патриотические чувства;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развивать творческие способности молодёжи через военно‑патриотическую тематику;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популяризировать патриотические ценности через современные форматы досуга (квесты, интерактивные выставки, цифровые проекты);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межпоколенческого диалога через совместное участие в культурно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‑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досуговых мероприятиях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bookmarkStart w:id="28" w:name="_Toc1223528384"/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ормирование ценностного отношения к жизни во всех её проявлениях, а также к качеству окружающей среды, своему здоровью и здоровью окружающих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сознание важности экологически обоснованного, здорового и безопасного образа жизни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онимание взаимосвязи и единства различных аспектов здоровья человека: физического, психического, социально-психологического и духовного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ормирование личного опыта ведения здорового образа жизни и безопасного поведения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н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авыки противодействия негативным факторам, угрожающим здоровью и безопасности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20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облюдение правил личной гигиены, техники безопасности и правил дорожного движения.</w:t>
      </w:r>
      <w:bookmarkStart w:id="29" w:name="_Toc1155664011"/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Модуль «Военно-профессиональная ориентация»</w:t>
      </w:r>
      <w:bookmarkEnd w:id="28"/>
      <w:bookmarkEnd w:id="29"/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содействие профессиональной ориентации молодежи, направленной на активизацию процессов самопределения и формирования профессиональной карьеры в сферах обороны и безопасности государства, а также обеспечение законности и правопорядка.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Задачи:</w:t>
      </w:r>
    </w:p>
    <w:p>
      <w:pPr>
        <w:numPr>
          <w:ilvl w:val="0"/>
          <w:numId w:val="19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предоставить полную информацию о военных специальностях и учебных заведениях Минобороны РФ;</w:t>
      </w:r>
    </w:p>
    <w:p>
      <w:pPr>
        <w:numPr>
          <w:ilvl w:val="0"/>
          <w:numId w:val="19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познакомить с перспективами карьерного роста и социальными гарантиями военнослужащих;</w:t>
      </w:r>
    </w:p>
    <w:p>
      <w:pPr>
        <w:numPr>
          <w:ilvl w:val="0"/>
          <w:numId w:val="19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дать возможность практического знакомства с военной профессией через моделирование служебной деятельности;</w:t>
      </w:r>
    </w:p>
    <w:p>
      <w:pPr>
        <w:numPr>
          <w:ilvl w:val="0"/>
          <w:numId w:val="19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организовать взаимодействие с действующими военнослужащими и ветеранами для обмена опытом;</w:t>
      </w:r>
    </w:p>
    <w:p>
      <w:pPr>
        <w:numPr>
          <w:ilvl w:val="0"/>
          <w:numId w:val="19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сформировать реалистичные представления о требованиях и особенностях военной профессии. 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numPr>
          <w:ilvl w:val="0"/>
          <w:numId w:val="20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оложительное восприятие себя как личности и осознание своей принадлежности к социальным сообществам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20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олучение позитивного опыта участия в практической деятельности в рамках различных социокультурных групп, ориентированных на конструктивное общественное развитие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20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амоопределение в области своих познавательных интересов и целей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20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начальных профессиональных намерений и интересов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20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eastAsia="zh-CN" w:bidi="ar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Накопление позитивного опыта участия в общественно значимых мероприятиях.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30" w:name="_Toc1634387646"/>
      <w:bookmarkStart w:id="31" w:name="_Toc1034861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Модуль «Работа с родителями»</w:t>
      </w:r>
      <w:bookmarkEnd w:id="30"/>
      <w:bookmarkEnd w:id="31"/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способствовать развитию партнерских отношений между учреждением и семьями в вопросах обучения, воспитания и развития обучающихся.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информировать родителей о содержании и формах военно‑патриотического воспитания;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вовл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екать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родителей в совместную деятельность с детьми по патриотическому воспитанию;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оказ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ывать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консультативную помощь по вопросам подготовки к военной службе и выбора военной профессии;</w:t>
      </w:r>
    </w:p>
    <w:p>
      <w:pPr>
        <w:keepNext w:val="0"/>
        <w:keepLines w:val="0"/>
        <w:widowControl/>
        <w:numPr>
          <w:ilvl w:val="0"/>
          <w:numId w:val="19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поддерж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ивать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семьи военнослужащих и ветеранов в передаче традиций служения Отечеству.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</w:t>
      </w:r>
    </w:p>
    <w:p>
      <w:pPr>
        <w:numPr>
          <w:ilvl w:val="0"/>
          <w:numId w:val="20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ценностного отношения к семье.</w:t>
      </w:r>
    </w:p>
    <w:p>
      <w:pPr>
        <w:numPr>
          <w:ilvl w:val="0"/>
          <w:numId w:val="20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сознание важности самодисциплины и её роли в семейной жизни.</w:t>
      </w:r>
    </w:p>
    <w:p>
      <w:pPr>
        <w:numPr>
          <w:ilvl w:val="0"/>
          <w:numId w:val="20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онимание и сознательное принятие нравственных норм взаимоотношений в семье, а также осознание значения семьи для гармоничного развития личности</w:t>
      </w:r>
      <w:r>
        <w:rPr>
          <w:rFonts w:hint="default" w:cs="Times New Roman"/>
          <w:b w:val="0"/>
          <w:bCs w:val="0"/>
          <w:sz w:val="28"/>
          <w:szCs w:val="28"/>
          <w:highlight w:val="none"/>
          <w:lang w:val="ru-RU"/>
        </w:rPr>
        <w:t>.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" w:after="0" w:line="360" w:lineRule="auto"/>
        <w:ind w:right="0" w:rightChars="0" w:firstLine="811"/>
        <w:jc w:val="center"/>
        <w:textAlignment w:val="auto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План</w:t>
      </w:r>
      <w:r>
        <w:rPr>
          <w:rFonts w:hint="default"/>
          <w:b/>
          <w:bCs/>
          <w:sz w:val="28"/>
          <w:szCs w:val="28"/>
          <w:lang w:val="ru-RU"/>
        </w:rPr>
        <w:t xml:space="preserve"> воспитательной деятельности на 2026-2027 гг.</w:t>
      </w:r>
    </w:p>
    <w:tbl>
      <w:tblPr>
        <w:tblStyle w:val="9"/>
        <w:tblW w:w="10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4909"/>
        <w:gridCol w:w="1680"/>
        <w:gridCol w:w="2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" w:after="0" w:line="360" w:lineRule="auto"/>
              <w:ind w:right="0" w:rightChars="0" w:firstLine="811"/>
              <w:jc w:val="center"/>
              <w:textAlignment w:val="auto"/>
              <w:rPr>
                <w:rFonts w:hint="default"/>
                <w:b/>
                <w:bCs/>
                <w:sz w:val="26"/>
                <w:szCs w:val="26"/>
                <w:lang w:val="ru-RU"/>
              </w:rPr>
            </w:pPr>
            <w:r>
              <w:rPr>
                <w:rFonts w:hint="default"/>
                <w:b/>
                <w:bCs/>
                <w:sz w:val="26"/>
                <w:szCs w:val="26"/>
                <w:lang w:val="ru-RU"/>
              </w:rPr>
              <w:t>№ №п/п</w:t>
            </w:r>
          </w:p>
        </w:tc>
        <w:tc>
          <w:tcPr>
            <w:tcW w:w="4909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" w:after="0" w:line="360" w:lineRule="auto"/>
              <w:ind w:right="0" w:rightChars="0"/>
              <w:jc w:val="center"/>
              <w:textAlignment w:val="auto"/>
              <w:rPr>
                <w:rFonts w:hint="default"/>
                <w:b/>
                <w:bCs/>
                <w:sz w:val="26"/>
                <w:szCs w:val="26"/>
                <w:lang w:val="ru-RU"/>
              </w:rPr>
            </w:pPr>
            <w:r>
              <w:rPr>
                <w:rFonts w:hint="default"/>
                <w:b/>
                <w:bCs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1680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" w:after="0" w:line="360" w:lineRule="auto"/>
              <w:ind w:right="0" w:rightChars="0"/>
              <w:jc w:val="center"/>
              <w:textAlignment w:val="auto"/>
              <w:rPr>
                <w:rFonts w:hint="default"/>
                <w:b/>
                <w:bCs/>
                <w:sz w:val="26"/>
                <w:szCs w:val="26"/>
                <w:lang w:val="ru-RU"/>
              </w:rPr>
            </w:pPr>
            <w:r>
              <w:rPr>
                <w:rFonts w:hint="default"/>
                <w:b/>
                <w:bCs/>
                <w:sz w:val="26"/>
                <w:szCs w:val="26"/>
                <w:lang w:val="ru-RU"/>
              </w:rPr>
              <w:t>Дата и место проведения</w:t>
            </w:r>
          </w:p>
        </w:tc>
        <w:tc>
          <w:tcPr>
            <w:tcW w:w="2818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" w:after="0" w:line="360" w:lineRule="auto"/>
              <w:ind w:right="0" w:rightChars="0"/>
              <w:jc w:val="center"/>
              <w:textAlignment w:val="auto"/>
              <w:rPr>
                <w:rFonts w:hint="default"/>
                <w:b/>
                <w:bCs/>
                <w:sz w:val="26"/>
                <w:szCs w:val="26"/>
                <w:lang w:val="ru-RU"/>
              </w:rPr>
            </w:pPr>
            <w:r>
              <w:rPr>
                <w:rFonts w:hint="default"/>
                <w:b/>
                <w:bCs/>
                <w:sz w:val="26"/>
                <w:szCs w:val="26"/>
                <w:lang w:val="ru-RU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В</w:t>
            </w: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оенная история»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  <w:t>1</w:t>
            </w:r>
          </w:p>
        </w:tc>
        <w:tc>
          <w:tcPr>
            <w:tcW w:w="4909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Уроки Мужества</w:t>
            </w:r>
          </w:p>
        </w:tc>
        <w:tc>
          <w:tcPr>
            <w:tcW w:w="1680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6"/>
                <w:szCs w:val="26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В течении года</w:t>
            </w:r>
          </w:p>
        </w:tc>
        <w:tc>
          <w:tcPr>
            <w:tcW w:w="2818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  <w:t>2</w:t>
            </w:r>
          </w:p>
        </w:tc>
        <w:tc>
          <w:tcPr>
            <w:tcW w:w="4909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</w:rPr>
              <w:t xml:space="preserve">Викторина </w:t>
            </w: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</w:rPr>
              <w:t>Боевой путь 38 Тобольского пехотного полка</w:t>
            </w: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80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6"/>
                <w:szCs w:val="26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Октябрь</w:t>
            </w:r>
          </w:p>
        </w:tc>
        <w:tc>
          <w:tcPr>
            <w:tcW w:w="2818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Модуль «Культурно - досуговая деятельность»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  <w:t>3</w:t>
            </w:r>
          </w:p>
        </w:tc>
        <w:tc>
          <w:tcPr>
            <w:tcW w:w="4909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 xml:space="preserve">Развлекательно-игровая программа  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“Вечер знакомств”</w:t>
            </w:r>
          </w:p>
        </w:tc>
        <w:tc>
          <w:tcPr>
            <w:tcW w:w="1680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6"/>
                <w:szCs w:val="26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Октябрь</w:t>
            </w:r>
          </w:p>
        </w:tc>
        <w:tc>
          <w:tcPr>
            <w:tcW w:w="2818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Педагог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  <w:t>-ор</w:t>
            </w: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ганизатор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highlight w:val="none"/>
              </w:rPr>
              <w:t>Военно-профессиональная ориентация</w:t>
            </w: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  <w:t>4</w:t>
            </w:r>
          </w:p>
        </w:tc>
        <w:tc>
          <w:tcPr>
            <w:tcW w:w="4909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Встречи в рамках мероприятия «Диалоги с героями»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6"/>
                <w:szCs w:val="26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 xml:space="preserve">- </w:t>
            </w:r>
          </w:p>
        </w:tc>
        <w:tc>
          <w:tcPr>
            <w:tcW w:w="1680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В течении года</w:t>
            </w:r>
          </w:p>
        </w:tc>
        <w:tc>
          <w:tcPr>
            <w:tcW w:w="2818" w:type="dxa"/>
          </w:tcPr>
          <w:p>
            <w:pPr>
              <w:spacing w:line="240" w:lineRule="auto"/>
              <w:jc w:val="both"/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Педагог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организатор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  <w:t>5</w:t>
            </w:r>
          </w:p>
        </w:tc>
        <w:tc>
          <w:tcPr>
            <w:tcW w:w="4909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Встречи с представителями воинских частей по согласованию с военным комиссариатом</w:t>
            </w:r>
          </w:p>
        </w:tc>
        <w:tc>
          <w:tcPr>
            <w:tcW w:w="1680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В течении года</w:t>
            </w:r>
          </w:p>
        </w:tc>
        <w:tc>
          <w:tcPr>
            <w:tcW w:w="2818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  <w:t>6</w:t>
            </w:r>
          </w:p>
        </w:tc>
        <w:tc>
          <w:tcPr>
            <w:tcW w:w="4909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  <w:t>Встречи с представителями учебных заведений силовых структур и МО</w:t>
            </w:r>
          </w:p>
        </w:tc>
        <w:tc>
          <w:tcPr>
            <w:tcW w:w="1680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  <w:t>В течении года</w:t>
            </w:r>
          </w:p>
        </w:tc>
        <w:tc>
          <w:tcPr>
            <w:tcW w:w="2818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  <w:t>7</w:t>
            </w:r>
          </w:p>
        </w:tc>
        <w:tc>
          <w:tcPr>
            <w:tcW w:w="4909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</w:rPr>
              <w:t>Посещение силовых структурных подразделений Главного Управления МЧС Россий по Тюменской области</w:t>
            </w:r>
          </w:p>
        </w:tc>
        <w:tc>
          <w:tcPr>
            <w:tcW w:w="1680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818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highlight w:val="none"/>
              </w:rPr>
              <w:t>Работа с родителями</w:t>
            </w: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  <w:t>8</w:t>
            </w:r>
          </w:p>
        </w:tc>
        <w:tc>
          <w:tcPr>
            <w:tcW w:w="4909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</w:rPr>
              <w:t>Родительское собрание</w:t>
            </w:r>
          </w:p>
        </w:tc>
        <w:tc>
          <w:tcPr>
            <w:tcW w:w="1680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818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Старший методист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  <w:t>9</w:t>
            </w:r>
          </w:p>
        </w:tc>
        <w:tc>
          <w:tcPr>
            <w:tcW w:w="4909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</w:rPr>
              <w:t>Поход выходного дня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</w:pPr>
          </w:p>
        </w:tc>
        <w:tc>
          <w:tcPr>
            <w:tcW w:w="1680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818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cs="Times New Roman"/>
                <w:b w:val="0"/>
                <w:bCs w:val="0"/>
                <w:color w:val="00000A"/>
                <w:sz w:val="26"/>
                <w:szCs w:val="26"/>
                <w:highlight w:val="none"/>
                <w:vertAlign w:val="baseline"/>
                <w:lang w:val="ru-RU" w:eastAsia="zh-CN" w:bidi="ar-SA"/>
              </w:rPr>
              <w:t>10</w:t>
            </w:r>
          </w:p>
        </w:tc>
        <w:tc>
          <w:tcPr>
            <w:tcW w:w="4909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vertAlign w:val="baseline"/>
                <w:lang w:val="ru-RU"/>
              </w:rPr>
              <w:t>Утренняя зарядка «Вместе с папой»</w:t>
            </w:r>
          </w:p>
        </w:tc>
        <w:tc>
          <w:tcPr>
            <w:tcW w:w="1680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818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vertAlign w:val="baseline"/>
                <w:lang w:val="ru-RU"/>
              </w:rPr>
              <w:t>ПДО</w:t>
            </w:r>
          </w:p>
        </w:tc>
      </w:tr>
    </w:tbl>
    <w:p>
      <w:pPr>
        <w:widowControl w:val="0"/>
        <w:spacing w:line="360" w:lineRule="auto"/>
        <w:ind w:right="155"/>
        <w:jc w:val="both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bookmarkEnd w:id="19"/>
    <w:p>
      <w:pPr>
        <w:pStyle w:val="10"/>
        <w:numPr>
          <w:ilvl w:val="0"/>
          <w:numId w:val="21"/>
        </w:numPr>
        <w:spacing w:after="0" w:line="360" w:lineRule="auto"/>
        <w:jc w:val="center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Комплекс организационно-педагогических условий</w:t>
      </w:r>
      <w:bookmarkEnd w:id="20"/>
      <w:bookmarkEnd w:id="21"/>
      <w:bookmarkEnd w:id="22"/>
      <w:bookmarkEnd w:id="23"/>
    </w:p>
    <w:p>
      <w:pPr>
        <w:pStyle w:val="10"/>
        <w:spacing w:after="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32" w:name="_Toc109944944"/>
      <w:bookmarkStart w:id="33" w:name="_Toc104809529"/>
      <w:bookmarkStart w:id="34" w:name="_Toc106713445"/>
      <w:bookmarkStart w:id="35" w:name="_Toc104809752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2.1. Календарный учебный график</w:t>
      </w:r>
      <w:bookmarkEnd w:id="32"/>
      <w:bookmarkEnd w:id="33"/>
      <w:bookmarkEnd w:id="34"/>
      <w:bookmarkEnd w:id="35"/>
    </w:p>
    <w:tbl>
      <w:tblPr>
        <w:tblStyle w:val="6"/>
        <w:tblW w:w="10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1"/>
        <w:gridCol w:w="2311"/>
        <w:gridCol w:w="2098"/>
        <w:gridCol w:w="2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81" w:type="dxa"/>
            <w:vMerge w:val="restart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 w:themeColor="text1" w:themeShade="8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6"/>
                <w:szCs w:val="26"/>
                <w:lang w:eastAsia="zh-CN"/>
              </w:rPr>
              <w:t>Год обучения</w:t>
            </w:r>
            <w:r>
              <w:rPr>
                <w:rFonts w:ascii="Times New Roman" w:hAnsi="Times New Roman" w:eastAsia="SimSun" w:cs="Times New Roman"/>
                <w:color w:val="000000" w:themeColor="text1" w:themeShade="80"/>
                <w:sz w:val="26"/>
                <w:szCs w:val="26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6"/>
                <w:szCs w:val="26"/>
                <w:lang w:eastAsia="ru-RU"/>
              </w:rPr>
              <w:t>Сроки реализации</w:t>
            </w:r>
          </w:p>
        </w:tc>
        <w:tc>
          <w:tcPr>
            <w:tcW w:w="2098" w:type="dxa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6"/>
                <w:szCs w:val="26"/>
                <w:lang w:eastAsia="ru-RU"/>
              </w:rPr>
              <w:t xml:space="preserve">Кол-во ч/нед </w:t>
            </w:r>
          </w:p>
        </w:tc>
        <w:tc>
          <w:tcPr>
            <w:tcW w:w="2590" w:type="dxa"/>
            <w:vMerge w:val="restart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6"/>
                <w:szCs w:val="26"/>
                <w:lang w:eastAsia="zh-CN"/>
              </w:rPr>
              <w:t>Кол-во занятий в неделю, продолжительность одного занятия (мин)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81" w:type="dxa"/>
            <w:vMerge w:val="continue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 w:eastAsiaTheme="majorEastAsia"/>
                <w:b/>
                <w:color w:val="2E75B6" w:themeColor="accent1" w:themeShade="BF"/>
                <w:sz w:val="26"/>
                <w:szCs w:val="26"/>
                <w:highlight w:val="yellow"/>
              </w:rPr>
            </w:pPr>
          </w:p>
        </w:tc>
        <w:tc>
          <w:tcPr>
            <w:tcW w:w="2311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6"/>
                <w:szCs w:val="26"/>
                <w:lang w:eastAsia="zh-CN"/>
              </w:rPr>
              <w:t xml:space="preserve">Кол-во учебных недель в год </w:t>
            </w:r>
          </w:p>
        </w:tc>
        <w:tc>
          <w:tcPr>
            <w:tcW w:w="2098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6"/>
                <w:szCs w:val="26"/>
              </w:rPr>
              <w:t>Объединение «ОФП»</w:t>
            </w:r>
          </w:p>
        </w:tc>
        <w:tc>
          <w:tcPr>
            <w:tcW w:w="2590" w:type="dxa"/>
            <w:vMerge w:val="continue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 w:eastAsiaTheme="majorEastAsia"/>
                <w:b/>
                <w:color w:val="2E75B6" w:themeColor="accent1" w:themeShade="BF"/>
                <w:sz w:val="26"/>
                <w:szCs w:val="26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81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1 года обучения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 xml:space="preserve">4 уч.  недели </w:t>
            </w:r>
          </w:p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(с сентября по июнь)</w:t>
            </w:r>
          </w:p>
        </w:tc>
        <w:tc>
          <w:tcPr>
            <w:tcW w:w="2098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2 ч.</w:t>
            </w:r>
          </w:p>
        </w:tc>
        <w:tc>
          <w:tcPr>
            <w:tcW w:w="2590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1 занятия в неделю по расписанию  по 90 минут, с перерывом на отдых</w:t>
            </w:r>
          </w:p>
        </w:tc>
      </w:tr>
    </w:tbl>
    <w:p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</w:p>
    <w:p>
      <w:pPr>
        <w:pStyle w:val="10"/>
        <w:spacing w:after="20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</w:pPr>
      <w:bookmarkStart w:id="36" w:name="_Toc104809753"/>
      <w:bookmarkStart w:id="37" w:name="_Toc100657461"/>
      <w:bookmarkStart w:id="38" w:name="_Toc109944945"/>
      <w:bookmarkStart w:id="39" w:name="_Toc104809530"/>
      <w:bookmarkStart w:id="40" w:name="_Toc106713446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  <w:t>2.2. Условия реализации программы.</w:t>
      </w:r>
      <w:bookmarkEnd w:id="36"/>
      <w:bookmarkEnd w:id="37"/>
      <w:bookmarkEnd w:id="38"/>
      <w:bookmarkEnd w:id="39"/>
      <w:bookmarkEnd w:id="40"/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  <w:t xml:space="preserve">Для реализации программы «ОФП» необходимо выполнение следующих условий: </w:t>
      </w:r>
    </w:p>
    <w:p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  <w:t>Материально-техническое обеспечение и оборудование:</w:t>
      </w:r>
    </w:p>
    <w:p>
      <w:pPr>
        <w:pStyle w:val="10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</w:rPr>
        <w:t>- Легкоатлетическая трасса для тренировок по пересеченной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 w:themeShade="80"/>
          <w:sz w:val="28"/>
        </w:rPr>
        <w:t>местности</w:t>
      </w:r>
      <w:r>
        <w:rPr>
          <w:rFonts w:ascii="Times New Roman" w:hAnsi="Times New Roman" w:cs="Times New Roman"/>
          <w:color w:val="000000" w:themeColor="text1" w:themeShade="80"/>
        </w:rPr>
        <w:t>;</w:t>
      </w: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</w:rPr>
        <w:t xml:space="preserve">- Спортивный зал со следующим оснащением: гимнастические маты, доска для отжиманий, атлетические тренажеры, перекладина для подтягивания,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гири, гантели, скакалки, татами, набивные мячи;</w:t>
      </w: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Спортивная площадка с установленной полосой для общей физической подготовки (брусья, канат, турник, кольца, скамья для отжимания и пресса), беговая дорожка с разметкой на 60 и 100 м;</w:t>
      </w: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Секундомер;</w:t>
      </w: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ab/>
      </w: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  <w:t>Информационное обеспечение:</w:t>
      </w: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Система АИС ЭДО;</w:t>
      </w: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 xml:space="preserve">Образовательный портал ГАУ ДО ТО «Региональный центр допризывной подготовки и патриотического воспитания «Аванпост». </w:t>
      </w: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center"/>
        <w:outlineLvl w:val="2"/>
        <w:rPr>
          <w:color w:val="000000" w:themeColor="text1" w:themeShade="80"/>
        </w:rPr>
      </w:pPr>
      <w:bookmarkStart w:id="41" w:name="_Toc104809842"/>
      <w:bookmarkStart w:id="42" w:name="_Toc106713447"/>
      <w:bookmarkStart w:id="43" w:name="_Toc104809531"/>
      <w:bookmarkStart w:id="44" w:name="_Toc109944946"/>
      <w:bookmarkStart w:id="45" w:name="_Toc104809754"/>
      <w:bookmarkStart w:id="46" w:name="_Toc100657462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  <w:t>Кадровое обеспечение</w:t>
      </w:r>
      <w:bookmarkEnd w:id="41"/>
      <w:bookmarkEnd w:id="42"/>
      <w:bookmarkEnd w:id="43"/>
      <w:bookmarkEnd w:id="44"/>
      <w:bookmarkEnd w:id="45"/>
      <w:bookmarkEnd w:id="46"/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1069"/>
        <w:rPr>
          <w:rFonts w:ascii="Times New Roman" w:hAnsi="Times New Roman" w:cs="Times New Roman"/>
          <w:b/>
          <w:color w:val="000000" w:themeColor="text1" w:themeShade="80"/>
        </w:rPr>
      </w:pP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К реализации данной программы допускается педагог дополнительного образования ГАУ ДО ТО «Региональный центр допризывной подготовки и патриотического воспитания «Аванпост», имеющий образование не ниже средне-специального или средне-профессионального, владеющий навыками и умениями необходимыми для реализации данной программы.</w:t>
      </w: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color w:val="000000" w:themeColor="text1" w:themeShade="80"/>
        </w:rPr>
      </w:pPr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yellow"/>
        </w:rPr>
      </w:pPr>
      <w:bookmarkStart w:id="47" w:name="_Toc100657463"/>
      <w:bookmarkStart w:id="48" w:name="_Toc104809755"/>
      <w:bookmarkStart w:id="49" w:name="_Toc104809532"/>
      <w:bookmarkStart w:id="50" w:name="_Toc106713448"/>
      <w:bookmarkStart w:id="51" w:name="_Toc109944947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2.3. Формы </w:t>
      </w:r>
      <w:bookmarkEnd w:id="47"/>
      <w:bookmarkEnd w:id="48"/>
      <w:bookmarkEnd w:id="49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контроля</w:t>
      </w:r>
      <w:bookmarkEnd w:id="50"/>
      <w:bookmarkEnd w:id="51"/>
    </w:p>
    <w:p>
      <w:pPr>
        <w:pStyle w:val="16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360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8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Для отслеживания уровня усвоения содержания программы и своевременного внесения коррекции, целесообразно использовать следующие формы контроля: текущий, тематический, итоговый.</w:t>
      </w:r>
    </w:p>
    <w:p>
      <w:pPr>
        <w:tabs>
          <w:tab w:val="left" w:pos="2025"/>
        </w:tabs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17"/>
          <w:rFonts w:ascii="Times New Roman" w:hAnsi="Times New Roman" w:cs="Times New Roman"/>
          <w:color w:val="000000" w:themeColor="text1" w:themeShade="80"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– оперативная и динамичная проверка результатов обучения, сопутствующая процессу выработки и закрепления умений и навыков, обучающихся (проверка знаний). Текущий контроль за реализацией программы предусмотрен в конце каждой дисциплины. Контрольное занятие может быть проведено в форме беседы, тестирования, зачётного занятия и др., учитывая содержание дисциплины. </w:t>
      </w:r>
    </w:p>
    <w:p>
      <w:pPr>
        <w:pStyle w:val="8"/>
        <w:snapToGrid w:val="0"/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rStyle w:val="17"/>
          <w:color w:val="000000" w:themeColor="text1" w:themeShade="80"/>
          <w:sz w:val="28"/>
          <w:szCs w:val="28"/>
        </w:rPr>
        <w:t>Тематический контроль</w:t>
      </w:r>
      <w:r>
        <w:rPr>
          <w:color w:val="000000" w:themeColor="text1" w:themeShade="80"/>
          <w:sz w:val="28"/>
          <w:szCs w:val="28"/>
        </w:rPr>
        <w:t xml:space="preserve"> – проверка решения заранее определенных задач или программного материала (контрольные занятия, сдача нормативов). </w:t>
      </w:r>
    </w:p>
    <w:p>
      <w:pPr>
        <w:pStyle w:val="8"/>
        <w:snapToGrid w:val="0"/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rStyle w:val="17"/>
          <w:color w:val="000000" w:themeColor="text1" w:themeShade="80"/>
          <w:sz w:val="28"/>
          <w:szCs w:val="28"/>
        </w:rPr>
        <w:t>Итоговый контроль</w:t>
      </w:r>
      <w:r>
        <w:rPr>
          <w:color w:val="000000" w:themeColor="text1" w:themeShade="80"/>
          <w:sz w:val="28"/>
          <w:szCs w:val="28"/>
        </w:rPr>
        <w:t xml:space="preserve"> – оценка результатов обучения за полугодие, год (зачет). В конце полугодия, учебного года обучающиеся сдают зачет по теоретической части, а также нормативы по физической подготовке. Результаты сдачи нормативов, результаты участия обучающихся в соревнованиях по тематике общеобразовательной программы заносятся в протоколы.</w:t>
      </w:r>
    </w:p>
    <w:p>
      <w:pPr>
        <w:pStyle w:val="8"/>
        <w:snapToGrid w:val="0"/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На начальных этапах обучения (октябрь) обучающиеся сдают входные нормативы по физической подготовке, результаты сдачи нормативов заносятся в таблицу (приложение № 2)</w:t>
      </w:r>
    </w:p>
    <w:p>
      <w:pPr>
        <w:pStyle w:val="8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</w:rPr>
      </w:pPr>
      <w:r>
        <w:rPr>
          <w:color w:val="000000" w:themeColor="text1" w:themeShade="80"/>
          <w:sz w:val="28"/>
          <w:szCs w:val="28"/>
        </w:rPr>
        <w:t>По окончании обучения по программе «Подготовка к сдаче норм ГТО» все обучающиеся сдают зачет. Форму проведения зачета педагог выбирает самостоятельно.</w:t>
      </w:r>
    </w:p>
    <w:p>
      <w:pPr>
        <w:pStyle w:val="8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  <w:highlight w:val="magenta"/>
        </w:rPr>
      </w:pPr>
    </w:p>
    <w:tbl>
      <w:tblPr>
        <w:tblStyle w:val="6"/>
        <w:tblW w:w="6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127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11"/>
              <w:spacing w:after="0" w:line="240" w:lineRule="auto"/>
              <w:jc w:val="center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Наименование дисциплины</w:t>
            </w:r>
          </w:p>
        </w:tc>
        <w:tc>
          <w:tcPr>
            <w:tcW w:w="3685" w:type="dxa"/>
            <w:shd w:val="clear" w:color="auto" w:fill="auto"/>
          </w:tcPr>
          <w:p>
            <w:pPr>
              <w:pStyle w:val="11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Форма проведения итогового контроля для 1 года обучения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11"/>
              <w:spacing w:after="0" w:line="240" w:lineRule="auto"/>
              <w:jc w:val="center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Беговая подготовка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pStyle w:val="11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11"/>
              <w:spacing w:after="0" w:line="240" w:lineRule="auto"/>
              <w:jc w:val="center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Силовая подготовка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Круговая тренировка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350" w:firstLineChars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</w:tbl>
    <w:p>
      <w:pPr>
        <w:pStyle w:val="8"/>
        <w:snapToGrid w:val="0"/>
        <w:spacing w:beforeAutospacing="0" w:after="0" w:afterAutospacing="0" w:line="360" w:lineRule="auto"/>
        <w:jc w:val="both"/>
        <w:rPr>
          <w:color w:val="000000" w:themeColor="text1" w:themeShade="80"/>
          <w:sz w:val="28"/>
          <w:szCs w:val="28"/>
        </w:rPr>
      </w:pPr>
    </w:p>
    <w:p>
      <w:pPr>
        <w:pStyle w:val="8"/>
        <w:tabs>
          <w:tab w:val="left" w:pos="0"/>
          <w:tab w:val="left" w:pos="1440"/>
        </w:tabs>
        <w:spacing w:beforeAutospacing="0" w:after="0" w:afterAutospacing="0" w:line="360" w:lineRule="auto"/>
        <w:ind w:left="17" w:hanging="17"/>
        <w:jc w:val="center"/>
        <w:outlineLvl w:val="2"/>
        <w:rPr>
          <w:b/>
          <w:color w:val="000000" w:themeColor="text1" w:themeShade="80"/>
          <w:sz w:val="28"/>
          <w:szCs w:val="28"/>
        </w:rPr>
      </w:pPr>
      <w:bookmarkStart w:id="52" w:name="_Toc104809533"/>
      <w:bookmarkStart w:id="53" w:name="_Toc104809756"/>
      <w:bookmarkStart w:id="54" w:name="_Toc106713449"/>
      <w:bookmarkStart w:id="55" w:name="_Toc109944948"/>
      <w:r>
        <w:rPr>
          <w:b/>
          <w:color w:val="000000" w:themeColor="text1" w:themeShade="80"/>
          <w:sz w:val="28"/>
          <w:szCs w:val="28"/>
        </w:rPr>
        <w:t xml:space="preserve">2.4. </w:t>
      </w:r>
      <w:bookmarkStart w:id="56" w:name="_Toc100657464"/>
      <w:r>
        <w:rPr>
          <w:b/>
          <w:color w:val="000000" w:themeColor="text1" w:themeShade="80"/>
          <w:sz w:val="28"/>
          <w:szCs w:val="28"/>
        </w:rPr>
        <w:t>Оценочные материалы</w:t>
      </w:r>
      <w:bookmarkEnd w:id="52"/>
      <w:bookmarkEnd w:id="53"/>
      <w:bookmarkEnd w:id="54"/>
      <w:bookmarkEnd w:id="55"/>
      <w:bookmarkEnd w:id="56"/>
    </w:p>
    <w:p>
      <w:pPr>
        <w:pStyle w:val="8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Проверка знаний, умений и навыков, обучающихся осуществляется: в процессе обучения, в конце обучения (по теме, разделу) и на контрольных занятиях</w:t>
      </w:r>
    </w:p>
    <w:p>
      <w:pPr>
        <w:pStyle w:val="8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 xml:space="preserve">В ходе проверки оцениваются: </w:t>
      </w:r>
    </w:p>
    <w:p>
      <w:pPr>
        <w:pStyle w:val="8"/>
        <w:tabs>
          <w:tab w:val="left" w:pos="1440"/>
        </w:tabs>
        <w:spacing w:beforeAutospacing="0" w:after="0" w:afterAutospacing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- Техника выполнения двигательных действий;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Техника выполнения двигательных действий оценивается следующим образом:</w:t>
      </w:r>
    </w:p>
    <w:p>
      <w:pPr>
        <w:pStyle w:val="1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«отлично» - если упражнение выполнено согласно описанию, без ошибок, четко, легко, уверенно, слитно в надлежащем ритме;</w:t>
      </w:r>
    </w:p>
    <w:p>
      <w:pPr>
        <w:pStyle w:val="1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«хорошо» - если упражнение выполнено согласно описанию, слитно, но при этом допущено не более двух незначительных ошибок;</w:t>
      </w:r>
    </w:p>
    <w:p>
      <w:pPr>
        <w:pStyle w:val="1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«удовлетворительно» - если упражнение выполнено согласно описанию, в своей основе верно, но с одной значительной или тремя незначительными ошибками;</w:t>
      </w:r>
    </w:p>
    <w:p>
      <w:pPr>
        <w:pStyle w:val="10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«неудовлетворительно» - если упражнение не выполнено, выполнено с грубой ошибкой или число других ошибок более трех.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Характер ошибок определяется на единой основе:</w:t>
      </w:r>
    </w:p>
    <w:p>
      <w:pPr>
        <w:pStyle w:val="1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незначительные ошибки - неточное выполнение деталей техники, практически не ведущих к снижению результата, качественных показателей двигательного действия;</w:t>
      </w:r>
    </w:p>
    <w:p>
      <w:pPr>
        <w:pStyle w:val="1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значительные ошибки - отклонение от правильного выполнения, не нарушающие структуру двигательного действия, его основы, но снижающим его результативность, количественные показатели (нарушение ритма, потеря темпа, недостаточная амплитуда, неустойчивые показатели тела и т.д.).</w:t>
      </w:r>
    </w:p>
    <w:p>
      <w:pPr>
        <w:pStyle w:val="10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грубые ошибки - отклонения от правильного (эталонного) выполнения техники, нарушающие структуру, искажающие основу техники двигательного действия, приводящие к значительному снижению результатов.</w:t>
      </w:r>
    </w:p>
    <w:p>
      <w:pPr>
        <w:pStyle w:val="8"/>
        <w:tabs>
          <w:tab w:val="left" w:pos="1440"/>
        </w:tabs>
        <w:spacing w:beforeAutospacing="0" w:after="0" w:afterAutospacing="0" w:line="360" w:lineRule="auto"/>
        <w:ind w:left="360"/>
        <w:jc w:val="center"/>
        <w:outlineLvl w:val="2"/>
        <w:rPr>
          <w:b/>
          <w:color w:val="000000" w:themeColor="text1" w:themeShade="80"/>
          <w:sz w:val="28"/>
          <w:szCs w:val="28"/>
        </w:rPr>
      </w:pPr>
      <w:bookmarkStart w:id="57" w:name="_Toc104809534"/>
      <w:bookmarkStart w:id="58" w:name="_Toc109944949"/>
      <w:bookmarkStart w:id="59" w:name="_Toc106713450"/>
      <w:bookmarkStart w:id="60" w:name="_Toc100657465"/>
      <w:bookmarkStart w:id="61" w:name="_Toc104809757"/>
      <w:r>
        <w:rPr>
          <w:b/>
          <w:bCs/>
          <w:color w:val="000000" w:themeColor="text1" w:themeShade="80"/>
          <w:sz w:val="28"/>
          <w:szCs w:val="28"/>
        </w:rPr>
        <w:t>2.5. Методические материалы.</w:t>
      </w:r>
      <w:bookmarkEnd w:id="57"/>
      <w:bookmarkEnd w:id="58"/>
      <w:bookmarkEnd w:id="59"/>
      <w:bookmarkEnd w:id="60"/>
      <w:bookmarkEnd w:id="61"/>
    </w:p>
    <w:p>
      <w:pPr>
        <w:spacing w:after="0" w:line="360" w:lineRule="auto"/>
        <w:ind w:firstLine="709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Методика работы по программе характеризуется общим поиском эффективных технологий, позволяющих конструктивно воздействовать на развитие физических качеств обучающихся, на решение их индивидуально-личностных проблем.</w:t>
      </w:r>
    </w:p>
    <w:p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Боровиков Л.И. Искусство обучения. Введение в дидактику дополнительного образования детей: Методическое пособие. – Новосибирск, 2013.</w:t>
      </w:r>
    </w:p>
    <w:p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Бочкарева И.А. Рефлексия как инструмент профессионального развития педагога. – СПб., 2004.</w:t>
      </w:r>
    </w:p>
    <w:p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Воспитательный процесс: изучение эффективности: Методические рекомендации. – М., 2000.</w:t>
      </w:r>
      <w:bookmarkStart w:id="62" w:name="_Toc109944950"/>
      <w:bookmarkStart w:id="63" w:name="_Toc100657466"/>
    </w:p>
    <w:p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br w:type="page"/>
      </w:r>
    </w:p>
    <w:p>
      <w:pPr>
        <w:pStyle w:val="2"/>
        <w:jc w:val="center"/>
        <w:rPr>
          <w:color w:val="000000" w:themeColor="text1" w:themeShade="80"/>
        </w:rPr>
      </w:pPr>
      <w:r>
        <w:rPr>
          <w:rFonts w:ascii="Times New Roman" w:hAnsi="Times New Roman" w:cs="Times New Roman"/>
          <w:bCs w:val="0"/>
          <w:color w:val="000000" w:themeColor="text1" w:themeShade="80"/>
        </w:rPr>
        <w:t>Список литературы</w:t>
      </w:r>
      <w:bookmarkEnd w:id="62"/>
      <w:bookmarkEnd w:id="63"/>
    </w:p>
    <w:p>
      <w:pPr>
        <w:pStyle w:val="2"/>
        <w:snapToGrid w:val="0"/>
        <w:spacing w:before="0" w:after="160" w:line="240" w:lineRule="auto"/>
        <w:jc w:val="both"/>
        <w:rPr>
          <w:color w:val="000000" w:themeColor="text1" w:themeShade="80"/>
          <w:u w:val="single"/>
        </w:rPr>
      </w:pPr>
      <w:bookmarkStart w:id="64" w:name="_Toc109944951"/>
      <w:bookmarkStart w:id="65" w:name="_Toc104809535"/>
      <w:bookmarkStart w:id="66" w:name="_Toc104809758"/>
      <w:bookmarkStart w:id="67" w:name="_Toc106713452"/>
      <w:r>
        <w:rPr>
          <w:rFonts w:ascii="Times New Roman" w:hAnsi="Times New Roman" w:cs="Times New Roman"/>
          <w:bCs w:val="0"/>
          <w:color w:val="000000" w:themeColor="text1" w:themeShade="80"/>
          <w:u w:val="single"/>
        </w:rPr>
        <w:t>для педагога</w:t>
      </w:r>
      <w:bookmarkEnd w:id="64"/>
      <w:bookmarkEnd w:id="65"/>
      <w:bookmarkEnd w:id="66"/>
      <w:bookmarkEnd w:id="67"/>
    </w:p>
    <w:p>
      <w:pPr>
        <w:snapToGrid w:val="0"/>
        <w:spacing w:after="0" w:line="240" w:lineRule="auto"/>
        <w:contextualSpacing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pStyle w:val="7"/>
        <w:widowControl w:val="0"/>
        <w:shd w:val="clear" w:color="auto" w:fill="FFFFFF"/>
        <w:snapToGrid w:val="0"/>
        <w:spacing w:after="0" w:line="360" w:lineRule="auto"/>
        <w:contextualSpacing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1. Ивочкин, В.В. Легкая атлетика: бег на средние и длинные дистанции, спортивная ходьба: Примерная программа спортивной подготовки для детско-юношеских спортивных школ, специализированных детско-юношеских спортивных школ олимпийского резерва /В.В. Ивочкин, Ю.Г. Травин, Г.Н. Королев, Г.Н. Семаева. – М.: Советский спорт, 2004. – 216 с;</w:t>
      </w:r>
    </w:p>
    <w:p>
      <w:pPr>
        <w:pStyle w:val="16"/>
        <w:widowControl w:val="0"/>
        <w:suppressAutoHyphens/>
        <w:snapToGrid w:val="0"/>
        <w:spacing w:after="0" w:line="360" w:lineRule="auto"/>
        <w:ind w:left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2. Квашук, П.В. Лыжные гонки: Примерная программа спортивной подготовки для детско-</w:t>
      </w:r>
      <w:r>
        <w:rPr>
          <w:rStyle w:val="18"/>
          <w:rFonts w:ascii="Times New Roman" w:hAnsi="Times New Roman"/>
          <w:color w:val="000000" w:themeColor="text1" w:themeShade="8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юношеских спортивных школ, специализированных детско-юношеских спортивных школ</w:t>
      </w:r>
      <w:r>
        <w:rPr>
          <w:rStyle w:val="18"/>
          <w:rFonts w:ascii="Times New Roman" w:hAnsi="Times New Roman"/>
          <w:color w:val="000000" w:themeColor="text1" w:themeShade="8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олимпийского резерва / П.В. Квашук. – М.: Советский спорт, 2003;</w:t>
      </w:r>
    </w:p>
    <w:p>
      <w:pPr>
        <w:pStyle w:val="16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56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3. Киселев, В.П. Современное пятиборье: примерная программа спортивной подготовки для</w:t>
      </w:r>
      <w:r>
        <w:rPr>
          <w:rStyle w:val="18"/>
          <w:rFonts w:ascii="Times New Roman" w:hAnsi="Times New Roman"/>
          <w:color w:val="000000" w:themeColor="text1" w:themeShade="8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ДЮСШ, СДЮШОР. М. Советский спорт 2006;</w:t>
      </w:r>
    </w:p>
    <w:p>
      <w:pPr>
        <w:pStyle w:val="16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4. Холодов Ж.К., Кузнецов В.С. Теория и методика физического воспитания с спорта: Учеб. пособие для студ. высш. учеб. заведений. - М.: Издательский цент "Академия", 2000. - 480 с;</w:t>
      </w:r>
    </w:p>
    <w:p>
      <w:pPr>
        <w:pStyle w:val="16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5. Раменская Т.И. Специальная подготовка лыжника М 2001г;</w:t>
      </w:r>
    </w:p>
    <w:p>
      <w:pPr>
        <w:pStyle w:val="16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6. Сборник нормативно-правовых документов Всероссийский физкультурно-спортивный комплекс «Готов к труду и обороне» ГБОУ «Балтийский берег» 2015;</w:t>
      </w:r>
    </w:p>
    <w:p>
      <w:pPr>
        <w:pStyle w:val="16"/>
        <w:widowControl w:val="0"/>
        <w:suppressAutoHyphens/>
        <w:snapToGrid w:val="0"/>
        <w:spacing w:after="0" w:line="360" w:lineRule="auto"/>
        <w:ind w:left="0"/>
        <w:jc w:val="both"/>
        <w:outlineLvl w:val="0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bookmarkStart w:id="68" w:name="_Toc109944952"/>
      <w:bookmarkStart w:id="69" w:name="_Toc104809759"/>
      <w:bookmarkStart w:id="70" w:name="_Toc106713453"/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для родителей</w:t>
      </w:r>
      <w:bookmarkEnd w:id="68"/>
      <w:bookmarkEnd w:id="69"/>
      <w:bookmarkEnd w:id="70"/>
    </w:p>
    <w:p>
      <w:pPr>
        <w:pStyle w:val="16"/>
        <w:widowControl w:val="0"/>
        <w:numPr>
          <w:ilvl w:val="0"/>
          <w:numId w:val="22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Базарный В.Ф. Здоровье и развитие ребенка: экспресс-контроль в школе и дома: Практическое пособие. - М., АРКТИ, 2005; </w:t>
      </w:r>
    </w:p>
    <w:p>
      <w:pPr>
        <w:pStyle w:val="16"/>
        <w:widowControl w:val="0"/>
        <w:numPr>
          <w:ilvl w:val="0"/>
          <w:numId w:val="22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Кулагина И.Ю. Возрастная психология. - М., 1996;</w:t>
      </w:r>
    </w:p>
    <w:p>
      <w:pPr>
        <w:pStyle w:val="16"/>
        <w:widowControl w:val="0"/>
        <w:numPr>
          <w:ilvl w:val="0"/>
          <w:numId w:val="22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Style w:val="17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Баркан А. Практическая психология для родителей или Как научиться понимать своего ребенка. М. 2000;</w:t>
      </w:r>
    </w:p>
    <w:p>
      <w:pPr>
        <w:pStyle w:val="16"/>
        <w:widowControl w:val="0"/>
        <w:numPr>
          <w:ilvl w:val="0"/>
          <w:numId w:val="22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Style w:val="17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Дмитриева В.Г. 200 развивающих игр и упражнений от рождения до школы \В.Г. Дмитриева, О.А. Новиковская. -М.: АСТ; СПб.: Сова, 2007. - 95 с.</w:t>
      </w:r>
    </w:p>
    <w:p>
      <w:pPr>
        <w:pStyle w:val="16"/>
        <w:widowControl w:val="0"/>
        <w:numPr>
          <w:ilvl w:val="0"/>
          <w:numId w:val="22"/>
        </w:numPr>
        <w:suppressAutoHyphens/>
        <w:snapToGrid w:val="0"/>
        <w:spacing w:after="0" w:line="360" w:lineRule="auto"/>
        <w:jc w:val="both"/>
        <w:rPr>
          <w:rStyle w:val="17"/>
          <w:rFonts w:ascii="Times New Roman" w:hAnsi="Times New Roman" w:eastAsia="Andale Sans UI" w:cs="Times New Roman"/>
          <w:color w:val="000000" w:themeColor="text1" w:themeShade="80"/>
          <w:sz w:val="24"/>
        </w:rPr>
      </w:pPr>
      <w:r>
        <w:rPr>
          <w:rStyle w:val="17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Лютова Е.К. Монина Г.Б. Тренинг эффективного взаимодействия с детьми. С-Пб2000;</w:t>
      </w:r>
    </w:p>
    <w:p>
      <w:pPr>
        <w:pStyle w:val="16"/>
        <w:widowControl w:val="0"/>
        <w:numPr>
          <w:ilvl w:val="0"/>
          <w:numId w:val="22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Style w:val="17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Богачкина Н.А. Как преодолеть детскую застенчивость./ Р.Н. Сиренко, Н.А. Богачкина; худож. П.В. Зарослов. - Ярославль: Академия развития, 2007. - 224 с.</w:t>
      </w:r>
      <w:bookmarkStart w:id="71" w:name="_Toc104809760"/>
    </w:p>
    <w:p>
      <w:pPr>
        <w:pStyle w:val="16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для детей</w:t>
      </w:r>
      <w:bookmarkEnd w:id="71"/>
    </w:p>
    <w:p>
      <w:pPr>
        <w:pStyle w:val="16"/>
        <w:widowControl w:val="0"/>
        <w:numPr>
          <w:ilvl w:val="0"/>
          <w:numId w:val="23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Фопель К. Создание команды. Психологические игры и упражнения. - М., Генезин, 2002.;</w:t>
      </w:r>
    </w:p>
    <w:p>
      <w:pPr>
        <w:pStyle w:val="16"/>
        <w:widowControl w:val="0"/>
        <w:numPr>
          <w:ilvl w:val="0"/>
          <w:numId w:val="23"/>
        </w:numPr>
        <w:suppressAutoHyphens/>
        <w:snapToGrid w:val="0"/>
        <w:spacing w:after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Берестов В.Д.  «Лыжный след» (стихотворение). //Кукумбер: литературно – художественный журнал для детей. М. – 2008.- № 10. – С. 10; </w:t>
      </w:r>
    </w:p>
    <w:p>
      <w:pPr>
        <w:pStyle w:val="16"/>
        <w:widowControl w:val="0"/>
        <w:numPr>
          <w:ilvl w:val="0"/>
          <w:numId w:val="23"/>
        </w:numPr>
        <w:suppressAutoHyphens/>
        <w:snapToGrid w:val="0"/>
        <w:spacing w:after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Бишаева А.А., Малков А.А. Физическая культура. Учебник. М.: КноРус, 2020. 312 с.;</w:t>
      </w:r>
    </w:p>
    <w:p>
      <w:pPr>
        <w:pStyle w:val="16"/>
        <w:widowControl w:val="0"/>
        <w:numPr>
          <w:ilvl w:val="0"/>
          <w:numId w:val="23"/>
        </w:numPr>
        <w:suppressAutoHyphens/>
        <w:snapToGrid w:val="0"/>
        <w:spacing w:after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Кузнецов В.С., Колодницкий Г. А. Теория и история физической культуры. М.: КноРус, 2020. 448 с;</w:t>
      </w:r>
    </w:p>
    <w:p>
      <w:pPr>
        <w:pStyle w:val="16"/>
        <w:widowControl w:val="0"/>
        <w:numPr>
          <w:ilvl w:val="0"/>
          <w:numId w:val="23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Вайцман М. «Гимнастика», «Чемпион» (стихотворения).//Кукумбер: литературно – художественный журнал для детей. М. – 2009.- № 6. – С. </w:t>
      </w:r>
    </w:p>
    <w:p>
      <w:pPr>
        <w:pStyle w:val="16"/>
        <w:widowControl w:val="0"/>
        <w:suppressAutoHyphens/>
        <w:snapToGrid w:val="0"/>
        <w:spacing w:after="0" w:line="360" w:lineRule="auto"/>
        <w:ind w:left="0"/>
        <w:jc w:val="both"/>
        <w:outlineLvl w:val="0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bookmarkStart w:id="72" w:name="_Toc104809761"/>
      <w:bookmarkStart w:id="73" w:name="_Toc109944953"/>
      <w:bookmarkStart w:id="74" w:name="_Toc106713454"/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перечень полезных интернет-ссылок</w:t>
      </w:r>
      <w:bookmarkEnd w:id="72"/>
      <w:bookmarkEnd w:id="73"/>
      <w:bookmarkEnd w:id="74"/>
    </w:p>
    <w:p>
      <w:pPr>
        <w:pStyle w:val="16"/>
        <w:widowControl w:val="0"/>
        <w:numPr>
          <w:ilvl w:val="0"/>
          <w:numId w:val="24"/>
        </w:numPr>
        <w:tabs>
          <w:tab w:val="left" w:pos="0"/>
        </w:tabs>
        <w:suppressAutoHyphens/>
        <w:snapToGrid w:val="0"/>
        <w:spacing w:after="0" w:line="360" w:lineRule="auto"/>
        <w:ind w:left="0" w:firstLine="0"/>
        <w:jc w:val="both"/>
      </w:pPr>
      <w:r>
        <w:fldChar w:fldCharType="begin"/>
      </w:r>
      <w:r>
        <w:instrText xml:space="preserve"> HYPERLINK "http://avanpost-72.ru/" \h </w:instrText>
      </w:r>
      <w:r>
        <w:fldChar w:fldCharType="separate"/>
      </w:r>
      <w:r>
        <w:rPr>
          <w:rStyle w:val="19"/>
          <w:rFonts w:ascii="Times New Roman" w:hAnsi="Times New Roman" w:eastAsia="Andale Sans UI" w:cs="Times New Roman"/>
          <w:bCs/>
          <w:color w:val="000000"/>
          <w:sz w:val="28"/>
          <w:szCs w:val="28"/>
        </w:rPr>
        <w:t xml:space="preserve">http://avanpost-72.ru/  </w:t>
      </w:r>
      <w:r>
        <w:rPr>
          <w:rStyle w:val="19"/>
          <w:rFonts w:ascii="Times New Roman" w:hAnsi="Times New Roman" w:eastAsia="Andale Sans UI" w:cs="Times New Roman"/>
          <w:bCs/>
          <w:color w:val="000000"/>
          <w:sz w:val="28"/>
          <w:szCs w:val="28"/>
        </w:rPr>
        <w:fldChar w:fldCharType="end"/>
      </w:r>
    </w:p>
    <w:p>
      <w:pPr>
        <w:pStyle w:val="16"/>
        <w:widowControl w:val="0"/>
        <w:numPr>
          <w:ilvl w:val="0"/>
          <w:numId w:val="24"/>
        </w:numPr>
        <w:tabs>
          <w:tab w:val="left" w:pos="0"/>
        </w:tabs>
        <w:suppressAutoHyphens/>
        <w:snapToGrid w:val="0"/>
        <w:spacing w:after="0" w:line="360" w:lineRule="auto"/>
        <w:ind w:left="0" w:firstLine="0"/>
        <w:jc w:val="both"/>
      </w:pPr>
      <w:r>
        <w:fldChar w:fldCharType="begin"/>
      </w:r>
      <w:r>
        <w:instrText xml:space="preserve"> HYPERLINK "https://www.gto.ru/" \h </w:instrText>
      </w:r>
      <w:r>
        <w:fldChar w:fldCharType="separate"/>
      </w:r>
      <w:r>
        <w:rPr>
          <w:rStyle w:val="19"/>
          <w:rFonts w:ascii="Times New Roman" w:hAnsi="Times New Roman" w:eastAsia="Andale Sans UI" w:cs="Times New Roman"/>
          <w:bCs/>
          <w:color w:val="000000"/>
          <w:sz w:val="28"/>
          <w:szCs w:val="28"/>
        </w:rPr>
        <w:t>https://www.gto.ru/</w:t>
      </w:r>
      <w:r>
        <w:rPr>
          <w:rStyle w:val="19"/>
          <w:rFonts w:ascii="Times New Roman" w:hAnsi="Times New Roman" w:eastAsia="Andale Sans UI" w:cs="Times New Roman"/>
          <w:bCs/>
          <w:color w:val="000000"/>
          <w:sz w:val="28"/>
          <w:szCs w:val="28"/>
        </w:rPr>
        <w:fldChar w:fldCharType="end"/>
      </w:r>
    </w:p>
    <w:p/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ndale Sans UI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byssinica SIL">
    <w:panose1 w:val="02000000000000000000"/>
    <w:charset w:val="00"/>
    <w:family w:val="auto"/>
    <w:pitch w:val="default"/>
    <w:sig w:usb0="800000EF" w:usb1="5200A14B" w:usb2="08000828" w:usb3="00000000" w:csb0="200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EF0CE8"/>
    <w:multiLevelType w:val="singleLevel"/>
    <w:tmpl w:val="96EF0CE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9FE8FE15"/>
    <w:multiLevelType w:val="singleLevel"/>
    <w:tmpl w:val="9FE8FE1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9FF97919"/>
    <w:multiLevelType w:val="singleLevel"/>
    <w:tmpl w:val="9FF9791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A99ED8E5"/>
    <w:multiLevelType w:val="multilevel"/>
    <w:tmpl w:val="A99ED8E5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/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B5DAA7BF"/>
    <w:multiLevelType w:val="singleLevel"/>
    <w:tmpl w:val="B5DAA7B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CF7D2C03"/>
    <w:multiLevelType w:val="singleLevel"/>
    <w:tmpl w:val="CF7D2C03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6">
    <w:nsid w:val="D37CC031"/>
    <w:multiLevelType w:val="singleLevel"/>
    <w:tmpl w:val="D37CC031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7">
    <w:nsid w:val="DFCE36AB"/>
    <w:multiLevelType w:val="singleLevel"/>
    <w:tmpl w:val="DFCE36A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8">
    <w:nsid w:val="EBFEE5C9"/>
    <w:multiLevelType w:val="singleLevel"/>
    <w:tmpl w:val="EBFEE5C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9">
    <w:nsid w:val="F55E2F48"/>
    <w:multiLevelType w:val="singleLevel"/>
    <w:tmpl w:val="F55E2F4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0">
    <w:nsid w:val="F7BA21A3"/>
    <w:multiLevelType w:val="multilevel"/>
    <w:tmpl w:val="F7BA21A3"/>
    <w:lvl w:ilvl="0" w:tentative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/>
        <w:b/>
        <w:sz w:val="28"/>
        <w:szCs w:val="28"/>
      </w:rPr>
    </w:lvl>
    <w:lvl w:ilvl="1" w:tentative="0">
      <w:start w:val="4"/>
      <w:numFmt w:val="decimal"/>
      <w:lvlText w:val="%1.%2."/>
      <w:lvlJc w:val="left"/>
      <w:pPr>
        <w:ind w:left="1800" w:hanging="720"/>
      </w:p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1">
    <w:nsid w:val="F7FEBB78"/>
    <w:multiLevelType w:val="multilevel"/>
    <w:tmpl w:val="F7FEBB78"/>
    <w:lvl w:ilvl="0" w:tentative="0">
      <w:start w:val="2"/>
      <w:numFmt w:val="decimal"/>
      <w:lvlText w:val="%1."/>
      <w:lvlJc w:val="left"/>
      <w:pPr>
        <w:ind w:left="810" w:hanging="360"/>
      </w:pPr>
    </w:lvl>
    <w:lvl w:ilvl="1" w:tentative="0">
      <w:start w:val="2"/>
      <w:numFmt w:val="decimal"/>
      <w:lvlText w:val="%1.%2."/>
      <w:lvlJc w:val="left"/>
      <w:pPr>
        <w:ind w:left="180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430" w:hanging="720"/>
      </w:pPr>
    </w:lvl>
    <w:lvl w:ilvl="3" w:tentative="0">
      <w:start w:val="1"/>
      <w:numFmt w:val="decimal"/>
      <w:lvlText w:val="%1.%2.%3.%4."/>
      <w:lvlJc w:val="left"/>
      <w:pPr>
        <w:ind w:left="3420" w:hanging="1080"/>
      </w:pPr>
    </w:lvl>
    <w:lvl w:ilvl="4" w:tentative="0">
      <w:start w:val="1"/>
      <w:numFmt w:val="decimal"/>
      <w:lvlText w:val="%1.%2.%3.%4.%5."/>
      <w:lvlJc w:val="left"/>
      <w:pPr>
        <w:ind w:left="4050" w:hanging="1080"/>
      </w:pPr>
    </w:lvl>
    <w:lvl w:ilvl="5" w:tentative="0">
      <w:start w:val="1"/>
      <w:numFmt w:val="decimal"/>
      <w:lvlText w:val="%1.%2.%3.%4.%5.%6."/>
      <w:lvlJc w:val="left"/>
      <w:pPr>
        <w:ind w:left="5040" w:hanging="1440"/>
      </w:pPr>
    </w:lvl>
    <w:lvl w:ilvl="6" w:tentative="0">
      <w:start w:val="1"/>
      <w:numFmt w:val="decimal"/>
      <w:lvlText w:val="%1.%2.%3.%4.%5.%6.%7."/>
      <w:lvlJc w:val="left"/>
      <w:pPr>
        <w:ind w:left="6030" w:hanging="1800"/>
      </w:pPr>
    </w:lvl>
    <w:lvl w:ilvl="7" w:tentative="0">
      <w:start w:val="1"/>
      <w:numFmt w:val="decimal"/>
      <w:lvlText w:val="%1.%2.%3.%4.%5.%6.%7.%8."/>
      <w:lvlJc w:val="left"/>
      <w:pPr>
        <w:ind w:left="6660" w:hanging="1800"/>
      </w:pPr>
    </w:lvl>
    <w:lvl w:ilvl="8" w:tentative="0">
      <w:start w:val="1"/>
      <w:numFmt w:val="decimal"/>
      <w:lvlText w:val="%1.%2.%3.%4.%5.%6.%7.%8.%9."/>
      <w:lvlJc w:val="left"/>
      <w:pPr>
        <w:ind w:left="7650" w:hanging="2160"/>
      </w:pPr>
    </w:lvl>
  </w:abstractNum>
  <w:abstractNum w:abstractNumId="12">
    <w:nsid w:val="FBFF3035"/>
    <w:multiLevelType w:val="multilevel"/>
    <w:tmpl w:val="FBFF3035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3">
    <w:nsid w:val="FEEF2FD8"/>
    <w:multiLevelType w:val="singleLevel"/>
    <w:tmpl w:val="FEEF2FD8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14">
    <w:nsid w:val="FEFBEBF7"/>
    <w:multiLevelType w:val="multilevel"/>
    <w:tmpl w:val="FEFBEBF7"/>
    <w:lvl w:ilvl="0" w:tentative="0">
      <w:start w:val="1"/>
      <w:numFmt w:val="decimal"/>
      <w:lvlText w:val="%1."/>
      <w:lvlJc w:val="left"/>
      <w:pPr>
        <w:ind w:left="450" w:hanging="450"/>
      </w:pPr>
    </w:lvl>
    <w:lvl w:ilvl="1" w:tentative="0">
      <w:start w:val="4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/>
        <w:b/>
        <w:color w:val="000000"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5">
    <w:nsid w:val="FEFD7534"/>
    <w:multiLevelType w:val="singleLevel"/>
    <w:tmpl w:val="FEFD7534"/>
    <w:lvl w:ilvl="0" w:tentative="0">
      <w:start w:val="1"/>
      <w:numFmt w:val="decimal"/>
      <w:suff w:val="space"/>
      <w:lvlText w:val="%1."/>
      <w:lvlJc w:val="left"/>
    </w:lvl>
  </w:abstractNum>
  <w:abstractNum w:abstractNumId="16">
    <w:nsid w:val="FF7B02CD"/>
    <w:multiLevelType w:val="singleLevel"/>
    <w:tmpl w:val="FF7B02C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7">
    <w:nsid w:val="3BFEA483"/>
    <w:multiLevelType w:val="singleLevel"/>
    <w:tmpl w:val="3BFEA483"/>
    <w:lvl w:ilvl="0" w:tentative="0">
      <w:start w:val="1"/>
      <w:numFmt w:val="decimal"/>
      <w:suff w:val="space"/>
      <w:lvlText w:val="%1."/>
      <w:lvlJc w:val="left"/>
    </w:lvl>
  </w:abstractNum>
  <w:abstractNum w:abstractNumId="18">
    <w:nsid w:val="5FBE3A03"/>
    <w:multiLevelType w:val="singleLevel"/>
    <w:tmpl w:val="5FBE3A03"/>
    <w:lvl w:ilvl="0" w:tentative="0">
      <w:start w:val="1"/>
      <w:numFmt w:val="decimal"/>
      <w:suff w:val="space"/>
      <w:lvlText w:val="%1."/>
      <w:lvlJc w:val="left"/>
    </w:lvl>
  </w:abstractNum>
  <w:abstractNum w:abstractNumId="19">
    <w:nsid w:val="6FBE51E8"/>
    <w:multiLevelType w:val="singleLevel"/>
    <w:tmpl w:val="6FBE51E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0">
    <w:nsid w:val="77BE004F"/>
    <w:multiLevelType w:val="singleLevel"/>
    <w:tmpl w:val="77BE004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1">
    <w:nsid w:val="79FE5F22"/>
    <w:multiLevelType w:val="multilevel"/>
    <w:tmpl w:val="79FE5F2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2">
    <w:nsid w:val="7EFF3937"/>
    <w:multiLevelType w:val="singleLevel"/>
    <w:tmpl w:val="7EFF3937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23">
    <w:nsid w:val="7FCFDE43"/>
    <w:multiLevelType w:val="multilevel"/>
    <w:tmpl w:val="7FCFDE4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b/>
        <w:color w:val="00000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color w:val="000000"/>
        <w:sz w:val="28"/>
        <w:szCs w:val="28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color w:val="000000"/>
        <w:sz w:val="28"/>
        <w:szCs w:val="28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color w:val="000000"/>
        <w:sz w:val="28"/>
        <w:szCs w:val="28"/>
      </w:r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color w:val="000000"/>
        <w:sz w:val="28"/>
        <w:szCs w:val="28"/>
      </w:r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color w:val="000000"/>
        <w:sz w:val="28"/>
        <w:szCs w:val="28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color w:val="000000"/>
        <w:sz w:val="28"/>
        <w:szCs w:val="28"/>
      </w:r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color w:val="000000"/>
        <w:sz w:val="28"/>
        <w:szCs w:val="28"/>
      </w:r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color w:val="000000"/>
        <w:sz w:val="28"/>
        <w:szCs w:val="28"/>
      </w:rPr>
    </w:lvl>
  </w:abstractNum>
  <w:num w:numId="1">
    <w:abstractNumId w:val="3"/>
  </w:num>
  <w:num w:numId="2">
    <w:abstractNumId w:val="7"/>
  </w:num>
  <w:num w:numId="3">
    <w:abstractNumId w:val="19"/>
  </w:num>
  <w:num w:numId="4">
    <w:abstractNumId w:val="9"/>
  </w:num>
  <w:num w:numId="5">
    <w:abstractNumId w:val="8"/>
  </w:num>
  <w:num w:numId="6">
    <w:abstractNumId w:val="18"/>
  </w:num>
  <w:num w:numId="7">
    <w:abstractNumId w:val="15"/>
  </w:num>
  <w:num w:numId="8">
    <w:abstractNumId w:val="14"/>
  </w:num>
  <w:num w:numId="9">
    <w:abstractNumId w:val="10"/>
  </w:num>
  <w:num w:numId="10">
    <w:abstractNumId w:val="17"/>
  </w:num>
  <w:num w:numId="11">
    <w:abstractNumId w:val="16"/>
  </w:num>
  <w:num w:numId="12">
    <w:abstractNumId w:val="0"/>
  </w:num>
  <w:num w:numId="13">
    <w:abstractNumId w:val="2"/>
  </w:num>
  <w:num w:numId="14">
    <w:abstractNumId w:val="1"/>
  </w:num>
  <w:num w:numId="15">
    <w:abstractNumId w:val="4"/>
  </w:num>
  <w:num w:numId="16">
    <w:abstractNumId w:val="20"/>
  </w:num>
  <w:num w:numId="17">
    <w:abstractNumId w:val="6"/>
  </w:num>
  <w:num w:numId="18">
    <w:abstractNumId w:val="13"/>
  </w:num>
  <w:num w:numId="19">
    <w:abstractNumId w:val="22"/>
  </w:num>
  <w:num w:numId="20">
    <w:abstractNumId w:val="5"/>
  </w:num>
  <w:num w:numId="21">
    <w:abstractNumId w:val="11"/>
  </w:num>
  <w:num w:numId="22">
    <w:abstractNumId w:val="12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FAF7301"/>
    <w:rsid w:val="8FAF7301"/>
    <w:rsid w:val="CDEDDDE4"/>
    <w:rsid w:val="EE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theme="minorBidi"/>
      <w:color w:val="00000A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 w:line="276" w:lineRule="auto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unhideWhenUsed/>
    <w:qFormat/>
    <w:uiPriority w:val="0"/>
    <w:pPr>
      <w:suppressAutoHyphens/>
      <w:spacing w:after="140" w:line="288" w:lineRule="auto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8">
    <w:name w:val="Normal (Web)"/>
    <w:basedOn w:val="1"/>
    <w:unhideWhenUsed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table" w:styleId="9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Содержимое таблицы"/>
    <w:basedOn w:val="1"/>
    <w:qFormat/>
    <w:uiPriority w:val="67"/>
    <w:pPr>
      <w:spacing w:after="200" w:line="276" w:lineRule="auto"/>
    </w:pPr>
    <w:rPr>
      <w:color w:val="auto"/>
    </w:rPr>
  </w:style>
  <w:style w:type="paragraph" w:customStyle="1" w:styleId="12">
    <w:name w:val="Стиль абзаца в &quot;Полиатлон&quot;"/>
    <w:basedOn w:val="1"/>
    <w:qFormat/>
    <w:uiPriority w:val="0"/>
    <w:pPr>
      <w:widowControl w:val="0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customStyle="1" w:styleId="13">
    <w:name w:val="Standard"/>
    <w:qFormat/>
    <w:uiPriority w:val="0"/>
    <w:pPr>
      <w:suppressAutoHyphens/>
      <w:spacing w:after="160" w:line="259" w:lineRule="auto"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table" w:customStyle="1" w:styleId="14">
    <w:name w:val="_Style 10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Table Normal1"/>
    <w:qFormat/>
    <w:uiPriority w:val="0"/>
  </w:style>
  <w:style w:type="paragraph" w:customStyle="1" w:styleId="16">
    <w:name w:val="Абзац списка2"/>
    <w:basedOn w:val="1"/>
    <w:qFormat/>
    <w:uiPriority w:val="34"/>
    <w:pPr>
      <w:ind w:left="720"/>
      <w:contextualSpacing/>
    </w:pPr>
  </w:style>
  <w:style w:type="character" w:customStyle="1" w:styleId="17">
    <w:name w:val="Выделение жирным"/>
    <w:basedOn w:val="5"/>
    <w:qFormat/>
    <w:uiPriority w:val="0"/>
    <w:rPr>
      <w:b/>
      <w:bCs/>
    </w:rPr>
  </w:style>
  <w:style w:type="character" w:customStyle="1" w:styleId="18">
    <w:name w:val="apple-converted-space"/>
    <w:basedOn w:val="5"/>
    <w:qFormat/>
    <w:uiPriority w:val="0"/>
  </w:style>
  <w:style w:type="character" w:customStyle="1" w:styleId="19">
    <w:name w:val="Интернет-ссылка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Office_11.1.0.9505_F1E327BC-269C-435d-A152-05C5408002CA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2026-08-07T16:03:00Z</dcterms:created>
  <dc:creator>tarasova</dc:creator>
  <cp:lastModifiedBy>vadik</cp:lastModifiedBy>
  <cp:lastPrinted>2026-08-20T11:17:48Z</cp:lastPrinted>
  <dcterms:modified xsi:type="dcterms:W3CDTF">2026-08-20T11:18:47Z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1049-11.1.0.9505</vt:lpwstr>
  </property>
</Properties>
</file>